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ind w:left="4020" w:leftChars="0" w:hanging="4020" w:hangingChars="700"/>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白</w:t>
      </w:r>
      <w:bookmarkStart w:id="10" w:name="_GoBack"/>
      <w:bookmarkEnd w:id="10"/>
      <w:r>
        <w:rPr>
          <w:rFonts w:hint="eastAsia" w:ascii="等线" w:hAnsi="等线" w:eastAsia="等线" w:cs="等线"/>
          <w:b/>
          <w:bCs/>
          <w:color w:val="000000" w:themeColor="text1"/>
          <w:spacing w:val="7"/>
          <w:kern w:val="2"/>
          <w:position w:val="4"/>
          <w:sz w:val="56"/>
          <w:szCs w:val="56"/>
          <w:lang w:val="en-US" w:eastAsia="zh-CN" w:bidi="ar-SA"/>
          <w14:textFill>
            <w14:solidFill>
              <w14:schemeClr w14:val="tx1"/>
            </w14:solidFill>
          </w14:textFill>
        </w:rPr>
        <w:t>细胞介素 - 17</w:t>
      </w:r>
      <w:r>
        <w:rPr>
          <w:rFonts w:hint="eastAsia" w:ascii="等线" w:hAnsi="等线" w:eastAsia="等线" w:cs="等线"/>
          <w:b/>
          <w:bCs/>
          <w:color w:val="000000" w:themeColor="text1"/>
          <w:spacing w:val="7"/>
          <w:position w:val="4"/>
          <w:sz w:val="56"/>
          <w:szCs w:val="56"/>
          <w:lang w:eastAsia="zh-CN"/>
          <w14:textFill>
            <w14:solidFill>
              <w14:schemeClr w14:val="tx1"/>
            </w14:solidFill>
          </w14:textFill>
        </w:rPr>
        <w:t>（IL-17）</w:t>
      </w:r>
    </w:p>
    <w:p w14:paraId="1445BFA9">
      <w:pPr>
        <w:spacing w:before="283" w:line="240" w:lineRule="auto"/>
        <w:ind w:firstLine="2297" w:firstLineChars="400"/>
        <w:jc w:val="both"/>
        <w:rPr>
          <w:rFonts w:hint="default" w:ascii="等线" w:hAnsi="等线" w:eastAsia="等线" w:cs="等线"/>
          <w:b/>
          <w:bCs/>
          <w:color w:val="000000" w:themeColor="text1"/>
          <w:spacing w:val="7"/>
          <w:position w:val="4"/>
          <w:sz w:val="48"/>
          <w:szCs w:val="48"/>
          <w:lang w:val="en-US" w:eastAsia="zh-CN"/>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货号：nrbe017</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检测范围:100-1000pg/mL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4B827CC4">
      <w:pPr>
        <w:rPr>
          <w:rFonts w:ascii="Arial" w:hAnsi="汉仪仿宋简" w:eastAsia="宋体" w:cstheme="minorBidi"/>
          <w:kern w:val="2"/>
          <w:sz w:val="28"/>
          <w:szCs w:val="24"/>
          <w:lang w:val="en-US" w:eastAsia="zh-CN" w:bidi="ar-SA"/>
        </w:rPr>
      </w:pPr>
      <w:r>
        <w:rPr>
          <w:rFonts w:ascii="Arial"/>
          <w:sz w:val="21"/>
        </w:rPr>
        <w:br w:type="page"/>
      </w:r>
    </w:p>
    <w:p w14:paraId="4639653E">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jc w:val="left"/>
        <w:rPr>
          <w:rFonts w:hint="eastAsia"/>
          <w:sz w:val="24"/>
          <w:szCs w:val="24"/>
          <w:lang w:val="en-US" w:eastAsia="zh-CN"/>
        </w:rPr>
      </w:pPr>
      <w:bookmarkStart w:id="0" w:name="_Toc21047"/>
      <w:r>
        <w:rPr>
          <w:rFonts w:hint="eastAsia"/>
          <w:sz w:val="24"/>
          <w:szCs w:val="24"/>
          <w:lang w:val="en-US" w:eastAsia="zh-CN"/>
        </w:rPr>
        <w:t>白细胞介素 - 17（IL-17）简介：</w:t>
      </w:r>
      <w:bookmarkEnd w:id="0"/>
    </w:p>
    <w:p w14:paraId="0BFFAB67">
      <w:pPr>
        <w:pStyle w:val="4"/>
        <w:keepNext w:val="0"/>
        <w:keepLines w:val="0"/>
        <w:pageBreakBefore w:val="0"/>
        <w:widowControl/>
        <w:numPr>
          <w:ilvl w:val="1"/>
          <w:numId w:val="0"/>
        </w:numPr>
        <w:kinsoku/>
        <w:wordWrap/>
        <w:overflowPunct/>
        <w:topLinePunct w:val="0"/>
        <w:autoSpaceDE/>
        <w:autoSpaceDN/>
        <w:bidi w:val="0"/>
        <w:adjustRightInd w:val="0"/>
        <w:snapToGrid w:val="0"/>
        <w:spacing w:line="300" w:lineRule="exact"/>
        <w:ind w:firstLine="480" w:firstLineChars="200"/>
        <w:textAlignment w:val="auto"/>
        <w:rPr>
          <w:rFonts w:hint="eastAsia" w:cstheme="minorBidi"/>
          <w:b w:val="0"/>
          <w:bCs w:val="0"/>
          <w:kern w:val="2"/>
          <w:sz w:val="24"/>
          <w:szCs w:val="24"/>
          <w:lang w:val="en-US" w:eastAsia="zh-CN" w:bidi="ar-SA"/>
        </w:rPr>
      </w:pPr>
      <w:bookmarkStart w:id="1" w:name="_Toc29361"/>
      <w:r>
        <w:rPr>
          <w:rFonts w:hint="eastAsia" w:cstheme="minorBidi"/>
          <w:b w:val="0"/>
          <w:bCs w:val="0"/>
          <w:kern w:val="2"/>
          <w:sz w:val="24"/>
          <w:szCs w:val="24"/>
          <w:lang w:val="en-US" w:eastAsia="zh-CN" w:bidi="ar-SA"/>
        </w:rPr>
        <w:t>白细胞介素 17（IL-17）是促炎细胞因子家族的代表性成员，主要由 Th17 细胞、γδT 细胞等分泌，通过调控下游炎症介质参与免疫应答与组织稳态维持。含 N 端信号肽（介导分泌）及 C 端细胞因子结构域，成熟蛋白形成二硫键连接的同源二聚体，表面电荷分布决定其与 IL-17RA/RC 受体复合物的特异性结合，是其启动炎症信号的分子基础。在科研模型中，IL-17 可诱导上皮细胞、成纤维细胞分泌炎症因子，与自身免疫性炎症模型、组织纤维化模型的病理进程密切相关，是解析适应性免疫效应机制的关键分子靶点</w:t>
      </w:r>
    </w:p>
    <w:p w14:paraId="1B518D78">
      <w:pPr>
        <w:pStyle w:val="4"/>
        <w:keepNext w:val="0"/>
        <w:keepLines w:val="0"/>
        <w:pageBreakBefore w:val="0"/>
        <w:numPr>
          <w:ilvl w:val="1"/>
          <w:numId w:val="0"/>
        </w:numPr>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300" w:lineRule="exact"/>
        <w:ind w:left="0" w:leftChars="0" w:firstLine="480" w:firstLineChars="200"/>
        <w:rPr>
          <w:rFonts w:hint="eastAsia"/>
          <w:sz w:val="24"/>
          <w:szCs w:val="24"/>
          <w:lang w:val="en-US" w:eastAsia="zh-CN"/>
        </w:rPr>
      </w:pPr>
      <w:r>
        <w:rPr>
          <w:rFonts w:hint="eastAsia"/>
          <w:sz w:val="24"/>
          <w:szCs w:val="24"/>
          <w:lang w:val="en-US" w:eastAsia="zh-CN"/>
        </w:rPr>
        <w:t>本试剂盒采用双抗夹心法酶联免疫吸附实验（Elisa）。往包被有白细胞介素 - 17（IL-17）捕获抗体的酶标板中，依次加入待检样品、标准品、HRP标记的检测抗体，然后经过温育和洗涤，TMB显色，并在酸的作用下转化成最终的黄色。颜色的深浅和样品中的白细胞介素 - 17（IL-17）呈正相关。用酶标仪在450nm波长下测定吸光度（OD值），计算样品浓度。</w:t>
      </w:r>
    </w:p>
    <w:p w14:paraId="086D38A1">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灵敏度：</w:t>
      </w:r>
      <w:r>
        <w:rPr>
          <w:rFonts w:hint="eastAsia" w:cstheme="minorBidi"/>
          <w:b/>
          <w:bCs/>
          <w:kern w:val="2"/>
          <w:sz w:val="24"/>
          <w:szCs w:val="24"/>
          <w:lang w:val="en-US" w:eastAsia="zh-CN" w:bidi="ar-SA"/>
        </w:rPr>
        <w:t xml:space="preserve">100-1000 </w:t>
      </w:r>
      <w:r>
        <w:rPr>
          <w:rFonts w:hint="eastAsia"/>
          <w:b/>
          <w:bCs/>
          <w:sz w:val="24"/>
          <w:szCs w:val="24"/>
          <w:lang w:val="en-US" w:eastAsia="zh-CN"/>
        </w:rPr>
        <w:t>pg/mL</w:t>
      </w:r>
    </w:p>
    <w:p w14:paraId="78E3E305">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b/>
          <w:bCs/>
          <w:sz w:val="24"/>
          <w:szCs w:val="24"/>
          <w:lang w:val="en-US" w:eastAsia="zh-CN"/>
        </w:rPr>
      </w:pPr>
      <w:r>
        <w:rPr>
          <w:rFonts w:hint="eastAsia"/>
          <w:b/>
          <w:bCs/>
          <w:sz w:val="24"/>
          <w:szCs w:val="24"/>
          <w:lang w:val="en-US" w:eastAsia="zh-CN"/>
        </w:rPr>
        <w:t>特异性：可检测样本中人的IL-17，与其类似物无明显的交叉反应。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2" w:name="_Toc25235"/>
      <w:r>
        <w:rPr>
          <w:rFonts w:hint="eastAsia"/>
          <w:sz w:val="24"/>
          <w:szCs w:val="24"/>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300" w:lineRule="exact"/>
        <w:ind w:left="425" w:leftChars="0" w:hanging="425" w:firstLineChars="0"/>
        <w:rPr>
          <w:rFonts w:hint="eastAsia"/>
          <w:sz w:val="24"/>
          <w:szCs w:val="24"/>
          <w:lang w:val="en-US" w:eastAsia="zh-CN"/>
        </w:rPr>
      </w:pPr>
      <w:r>
        <w:rPr>
          <w:rFonts w:hint="eastAsia"/>
          <w:sz w:val="24"/>
          <w:szCs w:val="24"/>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default"/>
          <w:sz w:val="24"/>
          <w:szCs w:val="24"/>
          <w:vertAlign w:val="baseline"/>
          <w:lang w:val="en-US" w:eastAsia="zh-CN"/>
        </w:rPr>
      </w:pPr>
      <w:bookmarkStart w:id="3" w:name="_Toc10928"/>
      <w:r>
        <w:rPr>
          <w:rFonts w:hint="eastAsia"/>
          <w:sz w:val="24"/>
          <w:szCs w:val="24"/>
          <w:lang w:val="en-US" w:eastAsia="zh-CN"/>
        </w:rPr>
        <w:t>试剂盒组成：</w:t>
      </w:r>
      <w:bookmarkEnd w:id="3"/>
    </w:p>
    <w:tbl>
      <w:tblPr>
        <w:tblStyle w:val="88"/>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0"/>
        <w:gridCol w:w="1396"/>
        <w:gridCol w:w="1396"/>
        <w:gridCol w:w="2516"/>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名称</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96孔配置</w:t>
            </w:r>
          </w:p>
        </w:tc>
        <w:tc>
          <w:tcPr>
            <w:tcW w:w="139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48孔配置</w:t>
            </w:r>
          </w:p>
        </w:tc>
        <w:tc>
          <w:tcPr>
            <w:tcW w:w="2516"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bCs/>
                <w:i w:val="0"/>
                <w:iCs w:val="0"/>
                <w:color w:val="FFFFFF"/>
                <w:sz w:val="21"/>
                <w:szCs w:val="21"/>
                <w:u w:val="none"/>
              </w:rPr>
            </w:pPr>
            <w:r>
              <w:rPr>
                <w:rFonts w:hint="eastAsia" w:ascii="宋体" w:hAnsi="宋体" w:eastAsia="宋体" w:cs="宋体"/>
                <w:b/>
                <w:bCs/>
                <w:i w:val="0"/>
                <w:iCs w:val="0"/>
                <w:color w:val="FFFFFF"/>
                <w:kern w:val="0"/>
                <w:sz w:val="21"/>
                <w:szCs w:val="21"/>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预包被酶标板</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8孔×12</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8孔×6</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w:t>
            </w:r>
            <w:r>
              <w:rPr>
                <w:rStyle w:val="99"/>
                <w:b w:val="0"/>
                <w:i w:val="0"/>
                <w:color w:val="000000"/>
                <w:sz w:val="21"/>
                <w:szCs w:val="21"/>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标准品</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2支</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1支</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通用稀释液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2×20ml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浓缩酶标记检测抗体（100×）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120μl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60μl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洗涤液（20×）</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1×10ml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底物（TMB）</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10ml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5ml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终止液</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6ml</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3ml</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封板膜</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4张</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29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说明书</w:t>
            </w:r>
          </w:p>
        </w:tc>
        <w:tc>
          <w:tcPr>
            <w:tcW w:w="139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1396"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1份</w:t>
            </w:r>
          </w:p>
        </w:tc>
        <w:tc>
          <w:tcPr>
            <w:tcW w:w="251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exact"/>
              <w:ind w:left="0" w:leftChars="0" w:firstLine="0" w:firstLineChars="0"/>
              <w:jc w:val="left"/>
              <w:textAlignment w:val="center"/>
              <w:rPr>
                <w:rFonts w:hint="eastAsia" w:ascii="宋体" w:hAnsi="宋体" w:eastAsia="宋体" w:cs="宋体"/>
                <w:b w:val="0"/>
                <w:i w:val="0"/>
                <w:iCs w:val="0"/>
                <w:color w:val="000000"/>
                <w:sz w:val="21"/>
                <w:szCs w:val="21"/>
                <w:u w:val="none"/>
              </w:rPr>
            </w:pPr>
            <w:r>
              <w:rPr>
                <w:rFonts w:hint="eastAsia" w:ascii="宋体" w:hAnsi="宋体" w:eastAsia="宋体" w:cs="宋体"/>
                <w:b w:val="0"/>
                <w:i w:val="0"/>
                <w:iCs w:val="0"/>
                <w:color w:val="000000"/>
                <w:kern w:val="0"/>
                <w:sz w:val="21"/>
                <w:szCs w:val="21"/>
                <w:u w:val="none"/>
                <w:lang w:val="en-US" w:eastAsia="zh-CN" w:bidi="ar"/>
              </w:rPr>
              <w:t>无</w:t>
            </w:r>
          </w:p>
        </w:tc>
      </w:tr>
    </w:tbl>
    <w:p w14:paraId="0AF6DA96">
      <w:pPr>
        <w:pStyle w:val="4"/>
        <w:keepNext w:val="0"/>
        <w:keepLines w:val="0"/>
        <w:pageBreakBefore w:val="0"/>
        <w:widowControl/>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4" w:name="_Toc10240"/>
      <w:r>
        <w:rPr>
          <w:rFonts w:hint="eastAsia"/>
          <w:sz w:val="24"/>
          <w:szCs w:val="24"/>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b w:val="0"/>
          <w:bCs w:val="0"/>
          <w:sz w:val="24"/>
          <w:szCs w:val="24"/>
          <w:lang w:val="en-US" w:eastAsia="zh-CN"/>
        </w:rPr>
        <w:t>血清：</w:t>
      </w:r>
      <w:r>
        <w:rPr>
          <w:rFonts w:hint="eastAsia"/>
          <w:sz w:val="24"/>
          <w:szCs w:val="24"/>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5" w:name="_Toc6213"/>
      <w:r>
        <w:rPr>
          <w:rFonts w:hint="eastAsia"/>
          <w:sz w:val="24"/>
          <w:szCs w:val="24"/>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6" w:name="_Toc4932"/>
      <w:r>
        <w:rPr>
          <w:rFonts w:hint="eastAsia"/>
          <w:sz w:val="24"/>
          <w:szCs w:val="24"/>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7" w:name="_Toc29074"/>
      <w:r>
        <w:rPr>
          <w:rFonts w:hint="eastAsia"/>
          <w:sz w:val="24"/>
          <w:szCs w:val="24"/>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eastAsia"/>
          <w:sz w:val="24"/>
          <w:szCs w:val="24"/>
          <w:lang w:val="en-US" w:eastAsia="zh-CN"/>
        </w:rPr>
      </w:pPr>
      <w:r>
        <w:rPr>
          <w:rFonts w:hint="eastAsia"/>
          <w:sz w:val="24"/>
          <w:szCs w:val="24"/>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300" w:lineRule="exact"/>
        <w:ind w:left="0" w:leftChars="0" w:firstLine="400" w:firstLineChars="0"/>
        <w:rPr>
          <w:rFonts w:hint="default"/>
          <w:sz w:val="24"/>
          <w:szCs w:val="24"/>
          <w:lang w:val="en-US" w:eastAsia="zh-CN"/>
        </w:rPr>
      </w:pPr>
      <w:r>
        <w:rPr>
          <w:rFonts w:hint="eastAsia"/>
          <w:sz w:val="24"/>
          <w:szCs w:val="24"/>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hint="eastAsia"/>
          <w:sz w:val="24"/>
          <w:szCs w:val="24"/>
          <w:lang w:val="en-US" w:eastAsia="zh-CN"/>
        </w:rPr>
      </w:pPr>
      <w:bookmarkStart w:id="8" w:name="_Toc4284"/>
      <w:r>
        <w:rPr>
          <w:rFonts w:hint="eastAsia"/>
          <w:sz w:val="24"/>
          <w:szCs w:val="24"/>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300" w:lineRule="exact"/>
        <w:rPr>
          <w:rFonts w:hint="eastAsia"/>
          <w:sz w:val="24"/>
          <w:szCs w:val="24"/>
          <w:lang w:val="en-US" w:eastAsia="zh-CN"/>
        </w:rPr>
      </w:pPr>
      <w:r>
        <w:rPr>
          <w:rFonts w:hint="eastAsia"/>
          <w:sz w:val="24"/>
          <w:szCs w:val="24"/>
          <w:lang w:val="en-US" w:eastAsia="zh-CN"/>
        </w:rPr>
        <w:br w:type="page"/>
      </w:r>
    </w:p>
    <w:p w14:paraId="3C0B4812">
      <w:pPr>
        <w:keepNext w:val="0"/>
        <w:keepLines w:val="0"/>
        <w:pageBreakBefore w:val="0"/>
        <w:kinsoku/>
        <w:wordWrap/>
        <w:overflowPunct/>
        <w:topLinePunct w:val="0"/>
        <w:autoSpaceDE/>
        <w:autoSpaceDN/>
        <w:bidi w:val="0"/>
        <w:adjustRightInd w:val="0"/>
        <w:snapToGrid w:val="0"/>
        <w:spacing w:line="300" w:lineRule="exact"/>
        <w:ind w:left="0" w:leftChars="0" w:firstLine="0" w:firstLineChars="0"/>
        <w:rPr>
          <w:rFonts w:ascii="宋体" w:hAnsi="宋体" w:eastAsia="宋体" w:cs="宋体"/>
          <w:sz w:val="24"/>
          <w:szCs w:val="24"/>
        </w:rPr>
      </w:pPr>
      <w:r>
        <w:rPr>
          <w:sz w:val="24"/>
          <w:szCs w:val="24"/>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5F191806">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ascii="宋体" w:hAnsi="宋体" w:eastAsia="宋体" w:cs="宋体"/>
          <w:sz w:val="24"/>
          <w:szCs w:val="24"/>
        </w:rPr>
      </w:pPr>
      <w:r>
        <w:rPr>
          <w:rFonts w:hint="eastAsia" w:ascii="宋体" w:hAnsi="宋体" w:eastAsia="宋体" w:cs="宋体"/>
          <w:sz w:val="24"/>
          <w:szCs w:val="24"/>
          <w:lang w:val="en-US" w:eastAsia="zh-CN"/>
        </w:rPr>
        <w:t xml:space="preserve">             </w:t>
      </w:r>
    </w:p>
    <w:p w14:paraId="3D72C768">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r>
        <w:rPr>
          <w:rFonts w:hint="eastAsia" w:ascii="微软雅黑" w:hAnsi="微软雅黑" w:eastAsia="微软雅黑" w:cs="微软雅黑"/>
          <w:i w:val="0"/>
          <w:iCs w:val="0"/>
          <w:caps w:val="0"/>
          <w:color w:val="333333"/>
          <w:spacing w:val="0"/>
          <w:sz w:val="24"/>
          <w:szCs w:val="24"/>
          <w:vertAlign w:val="baseline"/>
        </w:rPr>
        <w:t>注意：本图仅供参考，应以同次试验标准品所绘标准曲线计算标本含量。</w:t>
      </w:r>
    </w:p>
    <w:p w14:paraId="5DE4BB3E">
      <w:pPr>
        <w:pStyle w:val="8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0" w:firstLineChars="0"/>
        <w:textAlignment w:val="baseline"/>
        <w:rPr>
          <w:rFonts w:hint="eastAsia" w:ascii="微软雅黑" w:hAnsi="微软雅黑" w:eastAsia="微软雅黑" w:cs="微软雅黑"/>
          <w:i w:val="0"/>
          <w:iCs w:val="0"/>
          <w:caps w:val="0"/>
          <w:color w:val="333333"/>
          <w:spacing w:val="0"/>
          <w:sz w:val="24"/>
          <w:szCs w:val="24"/>
          <w:vertAlign w:val="baseline"/>
        </w:rPr>
      </w:pPr>
    </w:p>
    <w:p w14:paraId="6D8951BD">
      <w:pPr>
        <w:pStyle w:val="4"/>
        <w:bidi w:val="0"/>
        <w:ind w:left="0" w:leftChars="0" w:firstLine="0" w:firstLineChars="0"/>
        <w:rPr>
          <w:rFonts w:hint="eastAsia"/>
          <w:lang w:val="en-US" w:eastAsia="zh-CN"/>
        </w:rPr>
      </w:pPr>
      <w:bookmarkStart w:id="9" w:name="_Toc19760"/>
      <w:r>
        <w:rPr>
          <w:rFonts w:hint="eastAsia"/>
          <w:lang w:val="en-US" w:eastAsia="zh-CN"/>
        </w:rPr>
        <w:t>试剂盒性能：</w:t>
      </w:r>
      <w:bookmarkEnd w:id="9"/>
    </w:p>
    <w:p w14:paraId="142C2EE9">
      <w:pPr>
        <w:numPr>
          <w:ilvl w:val="0"/>
          <w:numId w:val="17"/>
        </w:numPr>
        <w:ind w:left="0" w:leftChars="0" w:firstLine="0" w:firstLineChars="0"/>
        <w:rPr>
          <w:rFonts w:hint="eastAsia"/>
          <w:lang w:val="en-US" w:eastAsia="zh-CN"/>
        </w:rPr>
      </w:pPr>
      <w:r>
        <w:rPr>
          <w:rFonts w:hint="eastAsia"/>
          <w:lang w:val="en-US" w:eastAsia="zh-CN"/>
        </w:rPr>
        <w:t>重复性：板内变异系数小于5%，板间变异系数小于5%</w:t>
      </w:r>
    </w:p>
    <w:p w14:paraId="1366C0F3">
      <w:pPr>
        <w:numPr>
          <w:ilvl w:val="0"/>
          <w:numId w:val="17"/>
        </w:numPr>
        <w:ind w:left="0" w:leftChars="0" w:firstLine="0" w:firstLineChars="0"/>
        <w:rPr>
          <w:rFonts w:hint="eastAsia"/>
          <w:lang w:val="en-US" w:eastAsia="zh-CN"/>
        </w:rPr>
      </w:pPr>
      <w:r>
        <w:rPr>
          <w:rFonts w:hint="eastAsia"/>
          <w:lang w:val="en-US" w:eastAsia="zh-CN"/>
        </w:rPr>
        <w:t>回收率：在选取的健康人血清、血浆和细胞培养上清中加入3个不同浓度水平的人IL-17蛋白，计算回收率。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1"/>
        <w:gridCol w:w="2556"/>
        <w:gridCol w:w="213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4E4A2A4">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样本类型</w:t>
            </w:r>
          </w:p>
        </w:tc>
        <w:tc>
          <w:tcPr>
            <w:tcW w:w="2556" w:type="dxa"/>
            <w:vAlign w:val="center"/>
          </w:tcPr>
          <w:p w14:paraId="03D1CA21">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范围（%）</w:t>
            </w:r>
          </w:p>
        </w:tc>
        <w:tc>
          <w:tcPr>
            <w:tcW w:w="2132" w:type="dxa"/>
            <w:vAlign w:val="center"/>
          </w:tcPr>
          <w:p w14:paraId="7EAA3C68">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jc w:val="center"/>
              <w:textAlignment w:val="auto"/>
              <w:rPr>
                <w:rFonts w:hint="default"/>
                <w:vertAlign w:val="baseline"/>
                <w:lang w:val="en-US" w:eastAsia="zh-CN"/>
              </w:rPr>
            </w:pPr>
            <w:r>
              <w:rPr>
                <w:rFonts w:hint="eastAsia"/>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605B3741">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Serum (n=5)</w:t>
            </w:r>
          </w:p>
        </w:tc>
        <w:tc>
          <w:tcPr>
            <w:tcW w:w="2556" w:type="dxa"/>
            <w:vAlign w:val="center"/>
          </w:tcPr>
          <w:p w14:paraId="5ADCC568">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w:t>
            </w:r>
          </w:p>
        </w:tc>
        <w:tc>
          <w:tcPr>
            <w:tcW w:w="2132" w:type="dxa"/>
            <w:vAlign w:val="center"/>
          </w:tcPr>
          <w:p w14:paraId="4D35B3E4">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93-101</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991" w:type="dxa"/>
            <w:vAlign w:val="center"/>
          </w:tcPr>
          <w:p w14:paraId="2D90364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EDTA plasma (n=4)</w:t>
            </w:r>
          </w:p>
        </w:tc>
        <w:tc>
          <w:tcPr>
            <w:tcW w:w="2556" w:type="dxa"/>
            <w:vAlign w:val="center"/>
          </w:tcPr>
          <w:p w14:paraId="13178C2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110</w:t>
            </w:r>
          </w:p>
        </w:tc>
        <w:tc>
          <w:tcPr>
            <w:tcW w:w="2132" w:type="dxa"/>
            <w:vAlign w:val="center"/>
          </w:tcPr>
          <w:p w14:paraId="7ED55E6A">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94-98</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991" w:type="dxa"/>
            <w:vAlign w:val="center"/>
          </w:tcPr>
          <w:p w14:paraId="40B3BCB3">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细胞培养上清（n=10）</w:t>
            </w:r>
          </w:p>
        </w:tc>
        <w:tc>
          <w:tcPr>
            <w:tcW w:w="2556" w:type="dxa"/>
            <w:vAlign w:val="center"/>
          </w:tcPr>
          <w:p w14:paraId="779CD79D">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94-102</w:t>
            </w:r>
          </w:p>
        </w:tc>
        <w:tc>
          <w:tcPr>
            <w:tcW w:w="2132" w:type="dxa"/>
            <w:vAlign w:val="center"/>
          </w:tcPr>
          <w:p w14:paraId="1C641C6C">
            <w:pPr>
              <w:keepNext w:val="0"/>
              <w:keepLines w:val="0"/>
              <w:widowControl/>
              <w:suppressLineNumbers w:val="0"/>
              <w:spacing w:before="0" w:beforeAutospacing="0" w:after="0" w:afterAutospacing="0"/>
              <w:ind w:left="0" w:leftChars="0" w:right="0" w:rightChars="0" w:firstLine="420" w:firstLineChars="200"/>
              <w:jc w:val="left"/>
              <w:rPr>
                <w:rFonts w:hint="default" w:ascii="微软雅黑" w:hAnsi="微软雅黑" w:eastAsia="微软雅黑" w:cs="微软雅黑"/>
                <w:i w:val="0"/>
                <w:iCs w:val="0"/>
                <w:caps w:val="0"/>
                <w:spacing w:val="0"/>
                <w:kern w:val="0"/>
                <w:sz w:val="21"/>
                <w:szCs w:val="21"/>
                <w:lang w:val="en-US" w:eastAsia="zh-CN" w:bidi="ar"/>
              </w:rPr>
            </w:pPr>
            <w:r>
              <w:rPr>
                <w:rFonts w:hint="eastAsia" w:ascii="微软雅黑" w:hAnsi="微软雅黑" w:eastAsia="微软雅黑" w:cs="微软雅黑"/>
                <w:i w:val="0"/>
                <w:iCs w:val="0"/>
                <w:caps w:val="0"/>
                <w:spacing w:val="0"/>
                <w:kern w:val="0"/>
                <w:sz w:val="21"/>
                <w:szCs w:val="21"/>
                <w:lang w:val="en-US" w:eastAsia="zh-CN" w:bidi="ar"/>
              </w:rPr>
              <w:t>96</w:t>
            </w:r>
          </w:p>
        </w:tc>
      </w:tr>
    </w:tbl>
    <w:p w14:paraId="5F96D672">
      <w:pPr>
        <w:keepNext w:val="0"/>
        <w:keepLines w:val="0"/>
        <w:pageBreakBefore w:val="0"/>
        <w:widowControl w:val="0"/>
        <w:kinsoku/>
        <w:wordWrap/>
        <w:overflowPunct/>
        <w:topLinePunct w:val="0"/>
        <w:autoSpaceDE/>
        <w:autoSpaceDN/>
        <w:bidi w:val="0"/>
        <w:adjustRightInd w:val="0"/>
        <w:snapToGrid w:val="0"/>
        <w:spacing w:line="240" w:lineRule="exact"/>
        <w:ind w:left="0" w:leftChars="0" w:firstLine="0" w:firstLineChars="0"/>
        <w:textAlignment w:val="auto"/>
        <w:rPr>
          <w:rFonts w:hint="default"/>
          <w:b/>
          <w:bCs/>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698F68-4E2B-4B05-8440-9CBE099E134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6A107925-82D4-40C9-A235-1D171F7C3069}"/>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528B05B9-ADE6-4E25-AC25-DDEEBE960040}"/>
  </w:font>
  <w:font w:name="微软雅黑">
    <w:panose1 w:val="020B0503020204020204"/>
    <w:charset w:val="86"/>
    <w:family w:val="auto"/>
    <w:pitch w:val="default"/>
    <w:sig w:usb0="80000287" w:usb1="2ACF3C50" w:usb2="00000016" w:usb3="00000000" w:csb0="0004001F" w:csb1="00000000"/>
    <w:embedRegular r:id="rId4" w:fontKey="{4281E633-428A-4F91-96B8-A679EE6500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-389890</wp:posOffset>
          </wp:positionH>
          <wp:positionV relativeFrom="paragraph">
            <wp:posOffset>-184785</wp:posOffset>
          </wp:positionV>
          <wp:extent cx="1475105" cy="467360"/>
          <wp:effectExtent l="0" t="0" r="10795" b="8890"/>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475105" cy="467360"/>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1A1256"/>
    <w:rsid w:val="075C7C95"/>
    <w:rsid w:val="0A6071C9"/>
    <w:rsid w:val="0BE77549"/>
    <w:rsid w:val="13116BD7"/>
    <w:rsid w:val="13EE774E"/>
    <w:rsid w:val="16835F40"/>
    <w:rsid w:val="1ED73258"/>
    <w:rsid w:val="1F896D6A"/>
    <w:rsid w:val="223E3E3C"/>
    <w:rsid w:val="224D407F"/>
    <w:rsid w:val="29005793"/>
    <w:rsid w:val="2A2A7AF9"/>
    <w:rsid w:val="2CC1297B"/>
    <w:rsid w:val="2E0D0283"/>
    <w:rsid w:val="2EB060C2"/>
    <w:rsid w:val="2ED450D5"/>
    <w:rsid w:val="319310CF"/>
    <w:rsid w:val="344D1A9D"/>
    <w:rsid w:val="34FE2942"/>
    <w:rsid w:val="3EDF3E59"/>
    <w:rsid w:val="41AD023F"/>
    <w:rsid w:val="48D41268"/>
    <w:rsid w:val="48F65BAB"/>
    <w:rsid w:val="4F7D74A2"/>
    <w:rsid w:val="526D56B7"/>
    <w:rsid w:val="53F8619B"/>
    <w:rsid w:val="57072B9A"/>
    <w:rsid w:val="5845652A"/>
    <w:rsid w:val="5902118D"/>
    <w:rsid w:val="5A1F5D26"/>
    <w:rsid w:val="5D4806FF"/>
    <w:rsid w:val="5DEF3829"/>
    <w:rsid w:val="61856B88"/>
    <w:rsid w:val="61A94127"/>
    <w:rsid w:val="63246FF1"/>
    <w:rsid w:val="68F20AA9"/>
    <w:rsid w:val="6D855C8A"/>
    <w:rsid w:val="705B0FA6"/>
    <w:rsid w:val="712E1AFD"/>
    <w:rsid w:val="72731C4B"/>
    <w:rsid w:val="73B40E35"/>
    <w:rsid w:val="74300A9E"/>
    <w:rsid w:val="74346A6F"/>
    <w:rsid w:val="746E765E"/>
    <w:rsid w:val="79733540"/>
    <w:rsid w:val="7CE53CE8"/>
    <w:rsid w:val="7D861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汉仪仿宋简" w:hAnsi="汉仪仿宋简"/>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汉仪仿宋简" w:hAnsi="汉仪仿宋简"/>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汉仪中宋简" w:hAnsi="汉仪中宋简" w:eastAsia="汉仪中宋简"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汉仪中宋简" w:hAnsi="汉仪中宋简" w:eastAsia="汉仪中宋简"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汉仪仿宋简" w:hAnsi="汉仪仿宋简"/>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汉仪仿宋简" w:hAnsi="汉仪仿宋简"/>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ascii="汉仪仿宋简" w:hAnsi="汉仪仿宋简" w:eastAsia="汉仪仿宋简"/>
    </w:rPr>
  </w:style>
  <w:style w:type="paragraph" w:styleId="45">
    <w:name w:val="Plain Text"/>
    <w:basedOn w:val="1"/>
    <w:link w:val="114"/>
    <w:qFormat/>
    <w:uiPriority w:val="0"/>
    <w:rPr>
      <w:rFonts w:ascii="汉仪仿宋简" w:hAnsi="Courier New" w:cs="Courier New"/>
      <w:kern w:val="2"/>
      <w:sz w:val="24"/>
      <w:szCs w:val="24"/>
    </w:rPr>
  </w:style>
  <w:style w:type="paragraph" w:styleId="46">
    <w:name w:val="List Bullet 5"/>
    <w:basedOn w:val="1"/>
    <w:qFormat/>
    <w:uiPriority w:val="0"/>
    <w:pPr>
      <w:numPr>
        <w:ilvl w:val="0"/>
        <w:numId w:val="9"/>
      </w:numPr>
      <w:spacing w:before="156" w:after="156"/>
      <w:ind w:hanging="420"/>
    </w:pPr>
    <w:rPr>
      <w:rFonts w:ascii="汉仪仿宋简" w:hAnsi="汉仪仿宋简"/>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汉仪中宋简" w:hAnsi="汉仪中宋简" w:eastAsia="汉仪中宋简"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汉仪中宋简" w:hAnsi="汉仪中宋简" w:eastAsia="汉仪中宋简"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汉仪中宋简" w:hAnsi="汉仪中宋简" w:eastAsia="汉仪中宋简"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ascii="汉仪仿宋简" w:hAnsi="汉仪仿宋简" w:eastAsia="汉仪仿宋简"/>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ascii="汉仪仿宋简" w:hAnsi="Courier New" w:cs="Courier New"/>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汉仪中宋简" w:hAnsi="汉仪中宋简" w:eastAsia="汉仪中宋简"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912</Words>
  <Characters>1068</Characters>
  <Lines>0</Lines>
  <Paragraphs>0</Paragraphs>
  <TotalTime>1</TotalTime>
  <ScaleCrop>false</ScaleCrop>
  <LinksUpToDate>false</LinksUpToDate>
  <CharactersWithSpaces>1088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2026-05-19T09:08:54Z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6E1339AE2ED64AB7B66C268C307C2BC1_13</vt:lpwstr>
  </property>
  <property fmtid="{D5CDD505-2E9C-101B-9397-08002B2CF9AE}" pid="4" name="KSOTemplateDocerSaveRecord">
    <vt:lpwstr>eyJoZGlkIjoiNWVlNjFhN2ViMDkyMjU2YTRhYmFiNzNhM2VmOTdkODMiLCJ1c2VySWQiOiIyNzMwNDgzMDEifQ==</vt:lpwstr>
  </property>
</Properties>
</file>