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2BC722A8">
      <w:pPr>
        <w:spacing w:before="283" w:line="240" w:lineRule="auto"/>
        <w:ind w:left="4020" w:leftChars="0" w:hanging="4020" w:hangingChars="700"/>
        <w:jc w:val="center"/>
        <w:rPr>
          <w:rFonts w:hint="eastAsia" w:ascii="等线" w:hAnsi="等线" w:eastAsia="等线" w:cs="等线"/>
          <w:b/>
          <w:bCs/>
          <w:color w:val="000000" w:themeColor="text1"/>
          <w:spacing w:val="7"/>
          <w:position w:val="4"/>
          <w:sz w:val="56"/>
          <w:szCs w:val="56"/>
          <w14:textFill>
            <w14:solidFill>
              <w14:schemeClr w14:val="tx1"/>
            </w14:solidFill>
          </w14:textFill>
        </w:rPr>
      </w:pPr>
      <w:bookmarkStart w:id="10" w:name="_GoBack"/>
      <w:bookmarkEnd w:id="10"/>
      <w:r>
        <w:rPr>
          <w:rFonts w:hint="eastAsia" w:ascii="等线" w:hAnsi="等线" w:eastAsia="等线" w:cs="等线"/>
          <w:b/>
          <w:bCs/>
          <w:color w:val="000000" w:themeColor="text1"/>
          <w:spacing w:val="7"/>
          <w:kern w:val="2"/>
          <w:position w:val="4"/>
          <w:sz w:val="56"/>
          <w:szCs w:val="56"/>
          <w:lang w:val="en-US" w:eastAsia="zh-CN" w:bidi="ar-SA"/>
          <w14:textFill>
            <w14:solidFill>
              <w14:schemeClr w14:val="tx1"/>
            </w14:solidFill>
          </w14:textFill>
        </w:rPr>
        <w:t>白细胞介素 - 28</w:t>
      </w:r>
      <w:r>
        <w:rPr>
          <w:rFonts w:hint="eastAsia" w:ascii="等线" w:hAnsi="等线" w:eastAsia="等线" w:cs="等线"/>
          <w:b/>
          <w:bCs/>
          <w:color w:val="000000" w:themeColor="text1"/>
          <w:spacing w:val="7"/>
          <w:position w:val="4"/>
          <w:sz w:val="56"/>
          <w:szCs w:val="56"/>
          <w:lang w:eastAsia="zh-CN"/>
          <w14:textFill>
            <w14:solidFill>
              <w14:schemeClr w14:val="tx1"/>
            </w14:solidFill>
          </w14:textFill>
        </w:rPr>
        <w:t>（IL-28）</w:t>
      </w:r>
    </w:p>
    <w:p w14:paraId="1445BFA9">
      <w:pPr>
        <w:spacing w:before="283" w:line="240" w:lineRule="auto"/>
        <w:ind w:firstLine="2297" w:firstLineChars="400"/>
        <w:jc w:val="both"/>
        <w:rPr>
          <w:rFonts w:hint="default" w:ascii="等线" w:hAnsi="等线" w:eastAsia="等线" w:cs="等线"/>
          <w:b/>
          <w:bCs/>
          <w:color w:val="000000" w:themeColor="text1"/>
          <w:spacing w:val="7"/>
          <w:position w:val="4"/>
          <w:sz w:val="48"/>
          <w:szCs w:val="48"/>
          <w:lang w:val="en-US" w:eastAsia="zh-CN"/>
          <w14:textFill>
            <w14:solidFill>
              <w14:schemeClr w14:val="tx1"/>
            </w14:solidFill>
          </w14:textFill>
        </w:rPr>
      </w:pPr>
      <w:r>
        <w:rPr>
          <w:rFonts w:hint="eastAsia" w:ascii="等线" w:hAnsi="等线" w:eastAsia="等线" w:cs="等线"/>
          <w:b/>
          <w:bCs/>
          <w:color w:val="000000" w:themeColor="text1"/>
          <w:spacing w:val="7"/>
          <w:position w:val="4"/>
          <w:sz w:val="56"/>
          <w:szCs w:val="56"/>
          <w14:textFill>
            <w14:solidFill>
              <w14:schemeClr w14:val="tx1"/>
            </w14:solidFill>
          </w14:textFill>
        </w:rPr>
        <w:t>ELISA</w:t>
      </w:r>
      <w:r>
        <w:rPr>
          <w:rFonts w:hint="eastAsia" w:ascii="等线" w:hAnsi="等线" w:eastAsia="等线" w:cs="等线"/>
          <w:b/>
          <w:bCs/>
          <w:color w:val="000000" w:themeColor="text1"/>
          <w:spacing w:val="7"/>
          <w:position w:val="4"/>
          <w:sz w:val="56"/>
          <w:szCs w:val="56"/>
          <w:lang w:val="en-US" w:eastAsia="zh-CN"/>
          <w14:textFill>
            <w14:solidFill>
              <w14:schemeClr w14:val="tx1"/>
            </w14:solidFill>
          </w14:textFill>
        </w:rPr>
        <w:t>检测</w:t>
      </w:r>
      <w:r>
        <w:rPr>
          <w:rFonts w:hint="eastAsia" w:ascii="等线" w:hAnsi="等线" w:eastAsia="等线" w:cs="等线"/>
          <w:b/>
          <w:bCs/>
          <w:color w:val="000000" w:themeColor="text1"/>
          <w:spacing w:val="7"/>
          <w:position w:val="4"/>
          <w:sz w:val="56"/>
          <w:szCs w:val="56"/>
          <w14:textFill>
            <w14:solidFill>
              <w14:schemeClr w14:val="tx1"/>
            </w14:solidFill>
          </w14:textFill>
        </w:rPr>
        <w:t>试剂盒</w:t>
      </w:r>
    </w:p>
    <w:p w14:paraId="1686C0E8">
      <w:pPr>
        <w:spacing w:before="283" w:line="240" w:lineRule="auto"/>
        <w:jc w:val="center"/>
        <w:rPr>
          <w:rFonts w:hint="eastAsia" w:ascii="等线" w:hAnsi="等线" w:eastAsia="等线" w:cs="等线"/>
          <w:b/>
          <w:bCs/>
          <w:color w:val="000000" w:themeColor="text1"/>
          <w:spacing w:val="7"/>
          <w:position w:val="4"/>
          <w:sz w:val="48"/>
          <w:szCs w:val="48"/>
          <w14:textFill>
            <w14:solidFill>
              <w14:schemeClr w14:val="tx1"/>
            </w14:solidFill>
          </w14:textFill>
        </w:rPr>
      </w:pPr>
    </w:p>
    <w:p w14:paraId="5A63581A">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使</w:t>
      </w:r>
    </w:p>
    <w:p w14:paraId="4E09114E">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用</w:t>
      </w:r>
    </w:p>
    <w:p w14:paraId="01A8C895">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说</w:t>
      </w:r>
    </w:p>
    <w:p w14:paraId="32DB8228">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明</w:t>
      </w:r>
    </w:p>
    <w:p w14:paraId="2E3B7C8D">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书</w:t>
      </w:r>
    </w:p>
    <w:p w14:paraId="084048E4">
      <w:pPr>
        <w:spacing w:before="283" w:line="210" w:lineRule="auto"/>
        <w:jc w:val="center"/>
        <w:rPr>
          <w:rFonts w:hint="default" w:ascii="等线" w:hAnsi="等线" w:eastAsia="等线" w:cs="等线"/>
          <w:b/>
          <w:bCs/>
          <w:color w:val="000000" w:themeColor="text1"/>
          <w:spacing w:val="7"/>
          <w:position w:val="4"/>
          <w:sz w:val="31"/>
          <w:szCs w:val="31"/>
          <w:lang w:val="en-US" w:eastAsia="zh-CN"/>
          <w14:textFill>
            <w14:solidFill>
              <w14:schemeClr w14:val="tx1"/>
            </w14:solidFill>
          </w14:textFill>
        </w:rPr>
      </w:pPr>
    </w:p>
    <w:p w14:paraId="5842C7D0">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p w14:paraId="12FD1116">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tbl>
      <w:tblPr>
        <w:tblStyle w:val="89"/>
        <w:tblW w:w="9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7"/>
        <w:gridCol w:w="4842"/>
      </w:tblGrid>
      <w:tr w14:paraId="02E8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10525F1B">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货号：nrbe020</w:t>
            </w:r>
          </w:p>
        </w:tc>
        <w:tc>
          <w:tcPr>
            <w:tcW w:w="4842" w:type="dxa"/>
            <w:tcBorders>
              <w:top w:val="nil"/>
              <w:left w:val="nil"/>
              <w:bottom w:val="nil"/>
              <w:right w:val="nil"/>
            </w:tcBorders>
          </w:tcPr>
          <w:p w14:paraId="6A343CD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检测范围:100-1000pg/mL</w:t>
            </w:r>
          </w:p>
        </w:tc>
      </w:tr>
      <w:tr w14:paraId="6713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5614002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规格：96T/48T</w:t>
            </w:r>
          </w:p>
        </w:tc>
        <w:tc>
          <w:tcPr>
            <w:tcW w:w="4842" w:type="dxa"/>
            <w:tcBorders>
              <w:top w:val="nil"/>
              <w:left w:val="nil"/>
              <w:bottom w:val="nil"/>
              <w:right w:val="nil"/>
            </w:tcBorders>
          </w:tcPr>
          <w:p w14:paraId="43929EA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保存温度：2-8℃</w:t>
            </w:r>
          </w:p>
        </w:tc>
      </w:tr>
      <w:tr w14:paraId="70AC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2BFBE96A">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种属反应：人</w:t>
            </w:r>
          </w:p>
        </w:tc>
        <w:tc>
          <w:tcPr>
            <w:tcW w:w="4842" w:type="dxa"/>
            <w:tcBorders>
              <w:top w:val="nil"/>
              <w:left w:val="nil"/>
              <w:bottom w:val="nil"/>
              <w:right w:val="nil"/>
            </w:tcBorders>
          </w:tcPr>
          <w:p w14:paraId="7752F99F">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有效期：6个月</w:t>
            </w:r>
          </w:p>
        </w:tc>
      </w:tr>
    </w:tbl>
    <w:p w14:paraId="30CE81DC">
      <w:pPr>
        <w:spacing w:before="283" w:line="210" w:lineRule="auto"/>
        <w:jc w:val="cente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pPr>
    </w:p>
    <w:p w14:paraId="5C10784E">
      <w:pPr>
        <w:spacing w:before="283" w:line="210" w:lineRule="auto"/>
        <w:jc w:val="center"/>
        <w:rPr>
          <w:rFonts w:hint="default" w:ascii="等线" w:hAnsi="等线" w:eastAsia="等线" w:cs="等线"/>
          <w:b/>
          <w:bCs/>
          <w:color w:val="000000" w:themeColor="text1"/>
          <w:spacing w:val="7"/>
          <w:position w:val="4"/>
          <w:sz w:val="22"/>
          <w:szCs w:val="22"/>
          <w:lang w:val="en-US" w:eastAsia="zh-CN"/>
          <w14:textFill>
            <w14:solidFill>
              <w14:schemeClr w14:val="tx1"/>
            </w14:solidFill>
          </w14:textFill>
        </w:rPr>
      </w:pPr>
      <w: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t>本试剂盒仅供体外研究使用，不用于临床诊断</w:t>
      </w:r>
    </w:p>
    <w:p w14:paraId="4B827CC4">
      <w:pPr>
        <w:rPr>
          <w:rFonts w:ascii="Arial" w:hAnsi="汉仪仿宋简" w:eastAsia="宋体" w:cstheme="minorBidi"/>
          <w:kern w:val="2"/>
          <w:sz w:val="28"/>
          <w:szCs w:val="24"/>
          <w:lang w:val="en-US" w:eastAsia="zh-CN" w:bidi="ar-SA"/>
        </w:rPr>
      </w:pPr>
      <w:r>
        <w:rPr>
          <w:rFonts w:ascii="Arial"/>
          <w:sz w:val="21"/>
        </w:rPr>
        <w:br w:type="page"/>
      </w:r>
    </w:p>
    <w:p w14:paraId="4639653E">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jc w:val="left"/>
        <w:rPr>
          <w:rFonts w:hint="eastAsia"/>
          <w:sz w:val="24"/>
          <w:szCs w:val="24"/>
          <w:lang w:val="en-US" w:eastAsia="zh-CN"/>
        </w:rPr>
      </w:pPr>
      <w:bookmarkStart w:id="0" w:name="_Toc21047"/>
      <w:r>
        <w:rPr>
          <w:rFonts w:hint="eastAsia"/>
          <w:sz w:val="24"/>
          <w:szCs w:val="24"/>
          <w:lang w:val="en-US" w:eastAsia="zh-CN"/>
        </w:rPr>
        <w:t>白细胞介素 - 28（IL-28）简介：</w:t>
      </w:r>
      <w:bookmarkEnd w:id="0"/>
    </w:p>
    <w:p w14:paraId="2D97635E">
      <w:pPr>
        <w:pStyle w:val="4"/>
        <w:keepNext w:val="0"/>
        <w:keepLines w:val="0"/>
        <w:pageBreakBefore w:val="0"/>
        <w:widowControl/>
        <w:numPr>
          <w:ilvl w:val="1"/>
          <w:numId w:val="0"/>
        </w:numPr>
        <w:kinsoku/>
        <w:wordWrap/>
        <w:overflowPunct/>
        <w:topLinePunct w:val="0"/>
        <w:autoSpaceDE/>
        <w:autoSpaceDN/>
        <w:bidi w:val="0"/>
        <w:adjustRightInd w:val="0"/>
        <w:snapToGrid w:val="0"/>
        <w:spacing w:line="300" w:lineRule="exact"/>
        <w:ind w:firstLine="480" w:firstLineChars="200"/>
        <w:jc w:val="both"/>
        <w:textAlignment w:val="auto"/>
        <w:rPr>
          <w:rFonts w:hint="eastAsia" w:cstheme="minorBidi"/>
          <w:b w:val="0"/>
          <w:bCs w:val="0"/>
          <w:kern w:val="2"/>
          <w:sz w:val="24"/>
          <w:szCs w:val="24"/>
          <w:lang w:val="en-US" w:eastAsia="zh-CN" w:bidi="ar-SA"/>
        </w:rPr>
      </w:pPr>
      <w:bookmarkStart w:id="1" w:name="_Toc29361"/>
      <w:r>
        <w:rPr>
          <w:rFonts w:hint="eastAsia" w:cstheme="minorBidi"/>
          <w:b w:val="0"/>
          <w:bCs w:val="0"/>
          <w:kern w:val="2"/>
          <w:sz w:val="24"/>
          <w:szCs w:val="24"/>
          <w:lang w:val="en-US" w:eastAsia="zh-CN" w:bidi="ar-SA"/>
        </w:rPr>
        <w:t>IL-28（白细胞介素 28）又称干扰素 λ2（IFN-λ2），是 II 型细胞因子家族成员，主要由活化的树突状细胞、上皮细胞分泌，在黏膜抗病毒免疫中发挥关键作用。属于螺旋束型细胞因子，含保守的受体结合域（由 α2、α3 螺旋构成），通过与 IL-28Rα 的 CRD2 结构域结合实现信号特异性传递，是其介导黏膜抗病毒功能的分子基础。其通过与靶细胞表面 IL-28Rα/IL-10Rβ 异二聚体受体结合，启动下游信号通路，诱导抗病毒基因表达，尤其对上皮细胞具有特异性调控作用。</w:t>
      </w:r>
    </w:p>
    <w:p w14:paraId="1B518D78">
      <w:pPr>
        <w:pStyle w:val="4"/>
        <w:keepNext w:val="0"/>
        <w:keepLines w:val="0"/>
        <w:pageBreakBefore w:val="0"/>
        <w:numPr>
          <w:ilvl w:val="1"/>
          <w:numId w:val="0"/>
        </w:numPr>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实验原理：</w:t>
      </w:r>
      <w:bookmarkEnd w:id="1"/>
    </w:p>
    <w:p w14:paraId="0BB5E801">
      <w:pPr>
        <w:keepNext w:val="0"/>
        <w:keepLines w:val="0"/>
        <w:pageBreakBefore w:val="0"/>
        <w:kinsoku/>
        <w:wordWrap/>
        <w:overflowPunct/>
        <w:topLinePunct w:val="0"/>
        <w:autoSpaceDE/>
        <w:autoSpaceDN/>
        <w:bidi w:val="0"/>
        <w:adjustRightInd w:val="0"/>
        <w:snapToGrid w:val="0"/>
        <w:spacing w:line="300" w:lineRule="exact"/>
        <w:ind w:left="0" w:leftChars="0" w:firstLine="480" w:firstLineChars="200"/>
        <w:rPr>
          <w:rFonts w:hint="eastAsia"/>
          <w:sz w:val="24"/>
          <w:szCs w:val="24"/>
          <w:lang w:val="en-US" w:eastAsia="zh-CN"/>
        </w:rPr>
      </w:pPr>
      <w:r>
        <w:rPr>
          <w:rFonts w:hint="eastAsia"/>
          <w:sz w:val="24"/>
          <w:szCs w:val="24"/>
          <w:lang w:val="en-US" w:eastAsia="zh-CN"/>
        </w:rPr>
        <w:t>本试剂盒采用双抗夹心法酶联免疫吸附实验（Elisa）。往包被有白细胞介素 - 28（IL-28）捕获抗体的酶标板中，依次加入待检样品、标准品、HRP标记的检测抗体，然后经过温育和洗涤，TMB显色，并在酸的作用下转化成最终的黄色。颜色的深浅和样品中的白细胞介素 - 28（IL-28）呈正相关。用酶标仪在450nm波长下测定吸光度（OD值），计算样品浓度。</w:t>
      </w:r>
    </w:p>
    <w:p w14:paraId="086D38A1">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b/>
          <w:bCs/>
          <w:sz w:val="24"/>
          <w:szCs w:val="24"/>
          <w:lang w:val="en-US" w:eastAsia="zh-CN"/>
        </w:rPr>
      </w:pPr>
      <w:r>
        <w:rPr>
          <w:rFonts w:hint="eastAsia"/>
          <w:b/>
          <w:bCs/>
          <w:sz w:val="24"/>
          <w:szCs w:val="24"/>
          <w:lang w:val="en-US" w:eastAsia="zh-CN"/>
        </w:rPr>
        <w:t>灵敏度：</w:t>
      </w:r>
      <w:r>
        <w:rPr>
          <w:rFonts w:hint="eastAsia" w:cstheme="minorBidi"/>
          <w:b/>
          <w:bCs/>
          <w:kern w:val="2"/>
          <w:sz w:val="24"/>
          <w:szCs w:val="24"/>
          <w:lang w:val="en-US" w:eastAsia="zh-CN" w:bidi="ar-SA"/>
        </w:rPr>
        <w:t xml:space="preserve">100-1000 </w:t>
      </w:r>
      <w:r>
        <w:rPr>
          <w:rFonts w:hint="eastAsia"/>
          <w:b/>
          <w:bCs/>
          <w:sz w:val="24"/>
          <w:szCs w:val="24"/>
          <w:lang w:val="en-US" w:eastAsia="zh-CN"/>
        </w:rPr>
        <w:t>pg/mL</w:t>
      </w:r>
    </w:p>
    <w:p w14:paraId="78E3E305">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b/>
          <w:bCs/>
          <w:sz w:val="24"/>
          <w:szCs w:val="24"/>
          <w:lang w:val="en-US" w:eastAsia="zh-CN"/>
        </w:rPr>
      </w:pPr>
      <w:r>
        <w:rPr>
          <w:rFonts w:hint="eastAsia"/>
          <w:b/>
          <w:bCs/>
          <w:sz w:val="24"/>
          <w:szCs w:val="24"/>
          <w:lang w:val="en-US" w:eastAsia="zh-CN"/>
        </w:rPr>
        <w:t>特异性：可检测样本中人的IL-28，与其类似物无明显的交叉反应。</w:t>
      </w:r>
    </w:p>
    <w:p w14:paraId="35FFC8F7">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2" w:name="_Toc25235"/>
      <w:r>
        <w:rPr>
          <w:rFonts w:hint="eastAsia"/>
          <w:sz w:val="24"/>
          <w:szCs w:val="24"/>
          <w:lang w:val="en-US" w:eastAsia="zh-CN"/>
        </w:rPr>
        <w:t>注意事项：</w:t>
      </w:r>
      <w:bookmarkEnd w:id="2"/>
    </w:p>
    <w:p w14:paraId="62DE7B91">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严格按照规定的时间和温度进行孵育。所有试剂都必须在使用前达到室温20-25℃。使用后放回4℃保存。</w:t>
      </w:r>
    </w:p>
    <w:p w14:paraId="4EF22AAD">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在加入底物前确保尽量吸干孔内液体。整个过程中不要让酶标板干燥时间过长。</w:t>
      </w:r>
    </w:p>
    <w:p w14:paraId="43AB5F1D">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酶标仪读数时清洁掉板底残留的液体和手指印，否则会影响读数。</w:t>
      </w:r>
    </w:p>
    <w:p w14:paraId="30B9A051">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在储存和温育时避免强光直接照射。</w:t>
      </w:r>
    </w:p>
    <w:p w14:paraId="15D14A66">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底物显色液应呈无色的颜色，已经变蓝的底物液不能使用。</w:t>
      </w:r>
    </w:p>
    <w:p w14:paraId="74984D42">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避免试剂和样本的交叉污染。</w:t>
      </w:r>
    </w:p>
    <w:p w14:paraId="52119B36">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不能接触漂白溶剂或漂白溶剂所散发的强烈气体。任何漂白成分都会破坏试剂盒中试剂的生物活性。</w:t>
      </w:r>
    </w:p>
    <w:p w14:paraId="527FB34B">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不能使用过期产品，不同货号和批号组分不得混用。</w:t>
      </w:r>
    </w:p>
    <w:p w14:paraId="1AAB597B">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不建议使用试剂盒以外的重组蛋白。</w:t>
      </w:r>
    </w:p>
    <w:p w14:paraId="2EC5A312">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如果可能传播疾病，所有的样品都应管理好，按照规定的程序处理样品和检测装置。</w:t>
      </w:r>
    </w:p>
    <w:p w14:paraId="7481EE41">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default"/>
          <w:sz w:val="24"/>
          <w:szCs w:val="24"/>
          <w:vertAlign w:val="baseline"/>
          <w:lang w:val="en-US" w:eastAsia="zh-CN"/>
        </w:rPr>
      </w:pPr>
      <w:bookmarkStart w:id="3" w:name="_Toc10928"/>
      <w:r>
        <w:rPr>
          <w:rFonts w:hint="eastAsia"/>
          <w:sz w:val="24"/>
          <w:szCs w:val="24"/>
          <w:lang w:val="en-US" w:eastAsia="zh-CN"/>
        </w:rPr>
        <w:t>试剂盒组成：</w:t>
      </w:r>
      <w:bookmarkEnd w:id="3"/>
    </w:p>
    <w:tbl>
      <w:tblPr>
        <w:tblStyle w:val="88"/>
        <w:tblW w:w="82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90"/>
        <w:gridCol w:w="1396"/>
        <w:gridCol w:w="1396"/>
        <w:gridCol w:w="2516"/>
      </w:tblGrid>
      <w:tr w14:paraId="31E1B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B309D6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名称</w:t>
            </w:r>
          </w:p>
        </w:tc>
        <w:tc>
          <w:tcPr>
            <w:tcW w:w="139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5A2E52C">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96孔配置</w:t>
            </w:r>
          </w:p>
        </w:tc>
        <w:tc>
          <w:tcPr>
            <w:tcW w:w="139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1BB8C3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48孔配置</w:t>
            </w:r>
          </w:p>
        </w:tc>
        <w:tc>
          <w:tcPr>
            <w:tcW w:w="251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4526854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开封后保存条件</w:t>
            </w:r>
          </w:p>
        </w:tc>
      </w:tr>
      <w:tr w14:paraId="01539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D1392F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预包被酶标板</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36B13E">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8孔×12</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F9E0B8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8孔×6</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0E2379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w:t>
            </w:r>
            <w:r>
              <w:rPr>
                <w:rStyle w:val="99"/>
                <w:b w:val="0"/>
                <w:i w:val="0"/>
                <w:color w:val="000000"/>
                <w:sz w:val="21"/>
                <w:szCs w:val="21"/>
                <w:lang w:val="en-US" w:eastAsia="zh-CN" w:bidi="ar"/>
              </w:rPr>
              <w:t>℃</w:t>
            </w:r>
          </w:p>
        </w:tc>
      </w:tr>
      <w:tr w14:paraId="03889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5B19C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标准品</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3F15F1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2支</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2886EE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1支</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12E7BE">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-20℃，复溶后当天使用</w:t>
            </w:r>
          </w:p>
        </w:tc>
      </w:tr>
      <w:tr w14:paraId="729AB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7E81A51">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通用稀释液</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99295D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2×20ml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57476F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1×20ml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32000B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13C06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65E637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浓缩酶标记检测抗体（100×）</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52F5CAF">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120μl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AD2CCA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60μl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11D40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-20℃，避光</w:t>
            </w:r>
          </w:p>
        </w:tc>
      </w:tr>
      <w:tr w14:paraId="6D5B7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F3A6E8B">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洗涤液（20×）</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8CD5E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2×10ml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703DEF52">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1×10ml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FB5E98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201E2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C43927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底物（TMB）</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F55468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B4767E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5ml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E012868">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-20℃，避光</w:t>
            </w:r>
          </w:p>
        </w:tc>
      </w:tr>
      <w:tr w14:paraId="45C89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84ECF2A">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终止液</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AD373B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6ml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3BEF8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3ml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43ACCAA">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0C1CB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7BE37D3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封板膜</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F529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4张</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C7195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4张</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687A5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无</w:t>
            </w:r>
          </w:p>
        </w:tc>
      </w:tr>
      <w:tr w14:paraId="7736F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42A245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说明书</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4AA45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1份</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C6E7139">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1份</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440B6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无</w:t>
            </w:r>
          </w:p>
        </w:tc>
      </w:tr>
    </w:tbl>
    <w:p w14:paraId="0AF6DA96">
      <w:pPr>
        <w:pStyle w:val="4"/>
        <w:keepNext w:val="0"/>
        <w:keepLines w:val="0"/>
        <w:pageBreakBefore w:val="0"/>
        <w:widowControl/>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4" w:name="_Toc10240"/>
      <w:r>
        <w:rPr>
          <w:rFonts w:hint="eastAsia"/>
          <w:sz w:val="24"/>
          <w:szCs w:val="24"/>
          <w:lang w:val="en-US" w:eastAsia="zh-CN"/>
        </w:rPr>
        <w:t>样本处理及要求：</w:t>
      </w:r>
      <w:bookmarkEnd w:id="4"/>
    </w:p>
    <w:p w14:paraId="295CC34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试剂盒检测范围不等同于样本中待测物的浓度范围，建议实验前通过相关文献预估样本中待测物的浓度并通过预实验确定样本的实际浓度。如果样品中待测物浓度过高或过低，请对样本做适当的稀释或浓缩。</w:t>
      </w:r>
    </w:p>
    <w:p w14:paraId="0F86A83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若所检样本不在说明说所列样本类型之中，建议做预实验验证其检测有效性。</w:t>
      </w:r>
    </w:p>
    <w:p w14:paraId="603CD975">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b w:val="0"/>
          <w:bCs w:val="0"/>
          <w:sz w:val="24"/>
          <w:szCs w:val="24"/>
          <w:lang w:val="en-US" w:eastAsia="zh-CN"/>
        </w:rPr>
        <w:t>血清：</w:t>
      </w:r>
      <w:r>
        <w:rPr>
          <w:rFonts w:hint="eastAsia"/>
          <w:sz w:val="24"/>
          <w:szCs w:val="24"/>
          <w:lang w:val="en-US" w:eastAsia="zh-CN"/>
        </w:rPr>
        <w:t>将收集于血清分离管的全血样本在室温放置2小时或2-8℃过夜，然后1000×g离心20分钟，取上清即可，或将上清置于-20℃或-80℃保存，但应避免反复冻融。</w:t>
      </w:r>
    </w:p>
    <w:p w14:paraId="2C0D0D6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血浆：用EDTA或肝素作为抗凝剂采集样本，并将样本在采集后的30分钟内于2-8℃1000×g离心15分钟，取上清检测，或将上清置于-20℃或-80℃保存，但应避免反复冻融。</w:t>
      </w:r>
    </w:p>
    <w:p w14:paraId="02919734">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组织匀浆：用预冷的PBS（0.01M，ph=7.4）冲洗组织，去除残留血液（匀浆中裂解的红细胞会影响检测结果），称重后将组织剪碎。将剪碎的组织与对应体积的PBS（一般按照1：9的重量体积比，比如1g的组织样品对应9ml的PBS，具体体积可根据实验需要适当调整，并做好记录。推荐在PBS中加入蛋白酶抑制剂）加入玻璃匀浆器中，于冰上充分研磨或匀浆机研磨。为了进一步裂解组织细胞，可以对匀浆液进行超声破碎，或者反复冻融。最后将匀浆液于5000×g离心5-10分钟，取上清检测。</w:t>
      </w:r>
    </w:p>
    <w:p w14:paraId="02C74423">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细胞培养物上清：请1000×g离心20分钟，取上清即可检测，或将上清置于-20℃或-80℃保存，但应避免反复冻融。</w:t>
      </w:r>
    </w:p>
    <w:p w14:paraId="129532D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细胞裂解液：贴壁细胞用预冷PBS轻轻清洗，然后用胰蛋白酶消化，1000×g离心5分钟后收集细胞；悬浮细胞可直接离心收集。收集的细胞用预冷PBS清洗3次，每1×10^6个细胞中加入150-200μlPBS重选（推荐在PBS中加入蛋白酶抑制剂；若含量很低可适当减少PBS体积）并通过反复冻融或超声使细胞破碎。将提取液于2-8℃，1500×g离心10分钟，取上清检测。</w:t>
      </w:r>
    </w:p>
    <w:p w14:paraId="130F8BA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其他生物样本：1000×g离心20分钟，取上清检测。</w:t>
      </w:r>
    </w:p>
    <w:p w14:paraId="2EA83BE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样品外观：样品应清澈透明，悬浮物应离心除去。</w:t>
      </w:r>
    </w:p>
    <w:p w14:paraId="3182AFC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样品保存：样本收集后若在1周内进行检测可保存于4℃，若不能即使检测，请按一次使用量分装，冻存于-20℃（一个月内检测），或-80℃（6个月内检测），避免反复冻融，样本溶血后会影响最后检测结果，因此溶血样本不宜进行此项检测。</w:t>
      </w:r>
    </w:p>
    <w:p w14:paraId="7FECD216">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5" w:name="_Toc6213"/>
      <w:r>
        <w:rPr>
          <w:rFonts w:hint="eastAsia"/>
          <w:sz w:val="24"/>
          <w:szCs w:val="24"/>
          <w:lang w:val="en-US" w:eastAsia="zh-CN"/>
        </w:rPr>
        <w:t>实验所需自备实验器材：</w:t>
      </w:r>
      <w:bookmarkEnd w:id="5"/>
    </w:p>
    <w:p w14:paraId="787023FA">
      <w:pPr>
        <w:keepNext w:val="0"/>
        <w:keepLines w:val="0"/>
        <w:pageBreakBefore w:val="0"/>
        <w:numPr>
          <w:ilvl w:val="0"/>
          <w:numId w:val="14"/>
        </w:numPr>
        <w:tabs>
          <w:tab w:val="left" w:pos="262"/>
        </w:tabs>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酶标仪（450nm）</w:t>
      </w:r>
    </w:p>
    <w:p w14:paraId="777F0F4A">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高精度移液器及吸头：0.5-10μl、5-50μl、20-200μl、200-1000μl</w:t>
      </w:r>
    </w:p>
    <w:p w14:paraId="3AF878C4">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37℃恒温箱</w:t>
      </w:r>
    </w:p>
    <w:p w14:paraId="655047CA">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蒸馏水或去离子水</w:t>
      </w:r>
    </w:p>
    <w:p w14:paraId="3B4E91E8">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6" w:name="_Toc4932"/>
      <w:r>
        <w:rPr>
          <w:rFonts w:hint="eastAsia"/>
          <w:sz w:val="24"/>
          <w:szCs w:val="24"/>
          <w:lang w:val="en-US" w:eastAsia="zh-CN"/>
        </w:rPr>
        <w:t>检测前准备工作：</w:t>
      </w:r>
      <w:bookmarkEnd w:id="6"/>
    </w:p>
    <w:p w14:paraId="2C5A3095">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请提前10分钟从冰箱中取出试剂盒，平衡至室温。</w:t>
      </w:r>
    </w:p>
    <w:p w14:paraId="245A36E0">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标准品梯度工作液配制：加入1ml通用稀释液至冻干标准品中，静置15分钟待其完全溶解后轻轻混匀（浓度为1000pg/ml），然后按照以下浓度：1000pg/ml、500pg/ml、250pg/ml、125pg/ml、62.5pg/ml、31.25pg/ml、15.625pg/ml、0进行稀释。稀释方法：取7支EP管，每管加入500μl通用稀释液，1000pg/ml的标准品工作液中吸取500μl到第一支EP管中混匀配成1000pg/ml的标准品工作液，按此步骤往后依次吸取混匀。</w:t>
      </w:r>
    </w:p>
    <w:p w14:paraId="07D331F2">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HRP标记的检测抗体工作液配制：使用前15分钟将浓缩生物素化抗体于1000×g离心1分钟，以通用稀释液将100×浓缩生物素化抗体稀释成1×工作浓度，现配现用。</w:t>
      </w:r>
    </w:p>
    <w:p w14:paraId="67E29694">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1×洗涤液配制：取10ml20×洗涤液到190ml蒸馏水中（从冰箱中取出的浓缩洗涤液可能有结晶，属于正常现象，可放置室温，待结晶完全溶解后再配制）。</w:t>
      </w:r>
    </w:p>
    <w:p w14:paraId="4BEB6195">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7" w:name="_Toc29074"/>
      <w:r>
        <w:rPr>
          <w:rFonts w:hint="eastAsia"/>
          <w:sz w:val="24"/>
          <w:szCs w:val="24"/>
          <w:lang w:val="en-US" w:eastAsia="zh-CN"/>
        </w:rPr>
        <w:t>操作步骤：</w:t>
      </w:r>
      <w:bookmarkEnd w:id="7"/>
    </w:p>
    <w:p w14:paraId="6BF1CF55">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酶标条从冰箱取出后平衡至室温，取出实验所需，剩余用自封袋密封放回4℃。</w:t>
      </w:r>
    </w:p>
    <w:p w14:paraId="3998E493">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加样：分别将样品或不同浓度标准品按照100μl每孔加入相应孔中，空白孔加入100μl通用稀释液。盖上封板膜后37℃温育60分钟。（最好将待测样本用通用稀释液最低稀释1倍后再加入酶标板内检测，减少基质效应对测试结果的影响，最后计算样本浓度时再乘以相应的稀释倍数，建议所有的待测样本和标准品在检测中设置复孔）。</w:t>
      </w:r>
    </w:p>
    <w:p w14:paraId="6811D9EC">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温育完成后，弃去液体，不用洗涤。每孔直接加入HRP标记的检测抗体工作液100μl，盖上封板膜后37℃温育40分钟。</w:t>
      </w:r>
    </w:p>
    <w:p w14:paraId="7CE9C070">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洗板：温育完成后，弃去液体，每孔加入200μl1×洗涤液，静置1分钟，弃去洗涤液，并在吸水纸上拍干，重复洗涤5次。也可用洗板机代替洗涤过程。</w:t>
      </w:r>
    </w:p>
    <w:p w14:paraId="07C9867E">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底物反应：每孔加入底物（TMB）90μl，盖上封板膜，室温孵育15分钟。</w:t>
      </w:r>
    </w:p>
    <w:p w14:paraId="0516C6D8">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终止：每孔加入终止液50μl，立即在450nm波长处测定各孔的OD值。加入终止液后时间过长会影响最终读数。</w:t>
      </w:r>
    </w:p>
    <w:p w14:paraId="6BEB620D">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8" w:name="_Toc4284"/>
      <w:r>
        <w:rPr>
          <w:rFonts w:hint="eastAsia"/>
          <w:sz w:val="24"/>
          <w:szCs w:val="24"/>
          <w:lang w:val="en-US" w:eastAsia="zh-CN"/>
        </w:rPr>
        <w:t>实验结果计算：</w:t>
      </w:r>
      <w:bookmarkEnd w:id="8"/>
    </w:p>
    <w:p w14:paraId="2C9D65FE">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计算样品和标准品复孔的平均OD值减去空白孔的OD值作为校正值。在双对数坐标纸上，以浓度为横坐标，OD值为纵坐标绘制标准曲线。</w:t>
      </w:r>
    </w:p>
    <w:p w14:paraId="352DC39C">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若样品的OD值高于标准曲线的上限，应适当稀释后重测。</w:t>
      </w:r>
    </w:p>
    <w:p w14:paraId="6C4CCFD4">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br w:type="page"/>
      </w:r>
    </w:p>
    <w:p w14:paraId="3C0B4812">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ascii="宋体" w:hAnsi="宋体" w:eastAsia="宋体" w:cs="宋体"/>
          <w:sz w:val="24"/>
          <w:szCs w:val="24"/>
        </w:rPr>
      </w:pPr>
      <w:r>
        <w:rPr>
          <w:sz w:val="24"/>
          <w:szCs w:val="24"/>
        </w:rPr>
        <w:drawing>
          <wp:inline distT="0" distB="0" distL="114300" distR="114300">
            <wp:extent cx="4898390" cy="3343910"/>
            <wp:effectExtent l="0" t="0" r="16510" b="8890"/>
            <wp:docPr id="3" name="图片_2"/>
            <wp:cNvGraphicFramePr/>
            <a:graphic xmlns:a="http://schemas.openxmlformats.org/drawingml/2006/main">
              <a:graphicData uri="http://schemas.openxmlformats.org/drawingml/2006/picture">
                <pic:pic xmlns:pic="http://schemas.openxmlformats.org/drawingml/2006/picture">
                  <pic:nvPicPr>
                    <pic:cNvPr id="3" name="图片_2"/>
                    <pic:cNvPicPr/>
                  </pic:nvPicPr>
                  <pic:blipFill>
                    <a:blip r:embed="rId8"/>
                    <a:stretch>
                      <a:fillRect/>
                    </a:stretch>
                  </pic:blipFill>
                  <pic:spPr>
                    <a:xfrm>
                      <a:off x="0" y="0"/>
                      <a:ext cx="4898390" cy="3343910"/>
                    </a:xfrm>
                    <a:prstGeom prst="rect">
                      <a:avLst/>
                    </a:prstGeom>
                    <a:noFill/>
                    <a:ln w="9525">
                      <a:noFill/>
                    </a:ln>
                  </pic:spPr>
                </pic:pic>
              </a:graphicData>
            </a:graphic>
          </wp:inline>
        </w:drawing>
      </w:r>
    </w:p>
    <w:p w14:paraId="5F191806">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ascii="宋体" w:hAnsi="宋体" w:eastAsia="宋体" w:cs="宋体"/>
          <w:sz w:val="24"/>
          <w:szCs w:val="24"/>
        </w:rPr>
      </w:pPr>
      <w:r>
        <w:rPr>
          <w:rFonts w:hint="eastAsia" w:ascii="宋体" w:hAnsi="宋体" w:eastAsia="宋体" w:cs="宋体"/>
          <w:sz w:val="24"/>
          <w:szCs w:val="24"/>
          <w:lang w:val="en-US" w:eastAsia="zh-CN"/>
        </w:rPr>
        <w:t xml:space="preserve">             </w:t>
      </w:r>
    </w:p>
    <w:p w14:paraId="3D72C768">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r>
        <w:rPr>
          <w:rFonts w:hint="eastAsia" w:ascii="微软雅黑" w:hAnsi="微软雅黑" w:eastAsia="微软雅黑" w:cs="微软雅黑"/>
          <w:i w:val="0"/>
          <w:iCs w:val="0"/>
          <w:caps w:val="0"/>
          <w:color w:val="333333"/>
          <w:spacing w:val="0"/>
          <w:sz w:val="24"/>
          <w:szCs w:val="24"/>
          <w:vertAlign w:val="baseline"/>
        </w:rPr>
        <w:t>注意：本图仅供参考，应以同次试验标准品所绘标准曲线计算标本含量。</w:t>
      </w:r>
    </w:p>
    <w:p w14:paraId="5DE4BB3E">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p>
    <w:p w14:paraId="6D8951BD">
      <w:pPr>
        <w:pStyle w:val="4"/>
        <w:bidi w:val="0"/>
        <w:ind w:left="0" w:leftChars="0" w:firstLine="0" w:firstLineChars="0"/>
        <w:rPr>
          <w:rFonts w:hint="eastAsia"/>
          <w:lang w:val="en-US" w:eastAsia="zh-CN"/>
        </w:rPr>
      </w:pPr>
      <w:bookmarkStart w:id="9" w:name="_Toc19760"/>
      <w:r>
        <w:rPr>
          <w:rFonts w:hint="eastAsia"/>
          <w:lang w:val="en-US" w:eastAsia="zh-CN"/>
        </w:rPr>
        <w:t>试剂盒性能：</w:t>
      </w:r>
      <w:bookmarkEnd w:id="9"/>
    </w:p>
    <w:p w14:paraId="142C2EE9">
      <w:pPr>
        <w:numPr>
          <w:ilvl w:val="0"/>
          <w:numId w:val="17"/>
        </w:numPr>
        <w:ind w:left="0" w:leftChars="0" w:firstLine="0" w:firstLineChars="0"/>
        <w:rPr>
          <w:rFonts w:hint="eastAsia"/>
          <w:lang w:val="en-US" w:eastAsia="zh-CN"/>
        </w:rPr>
      </w:pPr>
      <w:r>
        <w:rPr>
          <w:rFonts w:hint="eastAsia"/>
          <w:lang w:val="en-US" w:eastAsia="zh-CN"/>
        </w:rPr>
        <w:t>重复性：板内变异系数小于5%，板间变异系数小于5%</w:t>
      </w:r>
    </w:p>
    <w:p w14:paraId="1366C0F3">
      <w:pPr>
        <w:numPr>
          <w:ilvl w:val="0"/>
          <w:numId w:val="17"/>
        </w:numPr>
        <w:ind w:left="0" w:leftChars="0" w:firstLine="0" w:firstLineChars="0"/>
        <w:rPr>
          <w:rFonts w:hint="eastAsia"/>
          <w:lang w:val="en-US" w:eastAsia="zh-CN"/>
        </w:rPr>
      </w:pPr>
      <w:r>
        <w:rPr>
          <w:rFonts w:hint="eastAsia"/>
          <w:lang w:val="en-US" w:eastAsia="zh-CN"/>
        </w:rPr>
        <w:t>回收率：在选取的健康人血清、血浆和细胞培养上清中加入3个不同浓度水平的人IL-28蛋白，计算回收率。</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91"/>
        <w:gridCol w:w="2556"/>
        <w:gridCol w:w="2132"/>
      </w:tblGrid>
      <w:tr w14:paraId="58FB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24E4A2A4">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样本类型</w:t>
            </w:r>
          </w:p>
        </w:tc>
        <w:tc>
          <w:tcPr>
            <w:tcW w:w="2556" w:type="dxa"/>
            <w:vAlign w:val="center"/>
          </w:tcPr>
          <w:p w14:paraId="03D1CA21">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范围（%）</w:t>
            </w:r>
          </w:p>
        </w:tc>
        <w:tc>
          <w:tcPr>
            <w:tcW w:w="2132" w:type="dxa"/>
            <w:vAlign w:val="center"/>
          </w:tcPr>
          <w:p w14:paraId="7EAA3C68">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平均回收率</w:t>
            </w:r>
          </w:p>
        </w:tc>
      </w:tr>
      <w:tr w14:paraId="0BE7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605B3741">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Serum (n=5)</w:t>
            </w:r>
          </w:p>
        </w:tc>
        <w:tc>
          <w:tcPr>
            <w:tcW w:w="2556" w:type="dxa"/>
            <w:vAlign w:val="center"/>
          </w:tcPr>
          <w:p w14:paraId="5ADCC568">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94</w:t>
            </w:r>
          </w:p>
        </w:tc>
        <w:tc>
          <w:tcPr>
            <w:tcW w:w="2132" w:type="dxa"/>
            <w:vAlign w:val="center"/>
          </w:tcPr>
          <w:p w14:paraId="4D35B3E4">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93-96</w:t>
            </w:r>
          </w:p>
        </w:tc>
      </w:tr>
      <w:tr w14:paraId="064BF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2D90364C">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EDTA plasma (n=4)</w:t>
            </w:r>
          </w:p>
        </w:tc>
        <w:tc>
          <w:tcPr>
            <w:tcW w:w="2556" w:type="dxa"/>
            <w:vAlign w:val="center"/>
          </w:tcPr>
          <w:p w14:paraId="13178C2D">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110</w:t>
            </w:r>
          </w:p>
        </w:tc>
        <w:tc>
          <w:tcPr>
            <w:tcW w:w="2132" w:type="dxa"/>
            <w:vAlign w:val="center"/>
          </w:tcPr>
          <w:p w14:paraId="7ED55E6A">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94-103</w:t>
            </w:r>
          </w:p>
        </w:tc>
      </w:tr>
      <w:tr w14:paraId="5E6B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991" w:type="dxa"/>
            <w:vAlign w:val="center"/>
          </w:tcPr>
          <w:p w14:paraId="40B3BCB3">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细胞培养上清（n=10）</w:t>
            </w:r>
          </w:p>
        </w:tc>
        <w:tc>
          <w:tcPr>
            <w:tcW w:w="2556" w:type="dxa"/>
            <w:vAlign w:val="center"/>
          </w:tcPr>
          <w:p w14:paraId="779CD79D">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94-102</w:t>
            </w:r>
          </w:p>
        </w:tc>
        <w:tc>
          <w:tcPr>
            <w:tcW w:w="2132" w:type="dxa"/>
            <w:vAlign w:val="center"/>
          </w:tcPr>
          <w:p w14:paraId="1C641C6C">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91</w:t>
            </w:r>
          </w:p>
        </w:tc>
      </w:tr>
    </w:tbl>
    <w:p w14:paraId="5F96D672">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default"/>
          <w:b/>
          <w:bCs/>
          <w:lang w:val="en-US" w:eastAsia="zh-CN"/>
        </w:rPr>
      </w:pPr>
    </w:p>
    <w:sectPr>
      <w:headerReference r:id="rId5" w:type="default"/>
      <w:footerReference r:id="rId6" w:type="default"/>
      <w:pgSz w:w="11906" w:h="16838"/>
      <w:pgMar w:top="1984" w:right="1800" w:bottom="1440" w:left="1800" w:header="851" w:footer="43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169FCD9-0203-40CD-A22D-CFE2D4B97A3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汉仪仿宋简">
    <w:panose1 w:val="02010600000101010101"/>
    <w:charset w:val="80"/>
    <w:family w:val="auto"/>
    <w:pitch w:val="default"/>
    <w:sig w:usb0="800002BF" w:usb1="184F6CF8" w:usb2="00000012" w:usb3="00000000" w:csb0="00020001" w:csb1="00000000"/>
    <w:embedRegular r:id="rId2" w:fontKey="{A043D726-5118-4EF4-BF20-D69190ADD49E}"/>
  </w:font>
  <w:font w:name="汉仪中宋简">
    <w:panose1 w:val="02010600000101010101"/>
    <w:charset w:val="80"/>
    <w:family w:val="auto"/>
    <w:pitch w:val="default"/>
    <w:sig w:usb0="800002BF" w:usb1="184F6CF8" w:usb2="00000012" w:usb3="00000000" w:csb0="00020001"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embedRegular r:id="rId3" w:fontKey="{767768A8-A435-40DD-8FEE-BDEEC297BA12}"/>
  </w:font>
  <w:font w:name="微软雅黑">
    <w:panose1 w:val="020B0503020204020204"/>
    <w:charset w:val="86"/>
    <w:family w:val="auto"/>
    <w:pitch w:val="default"/>
    <w:sig w:usb0="80000287" w:usb1="2ACF3C50" w:usb2="00000016" w:usb3="00000000" w:csb0="0004001F" w:csb1="00000000"/>
    <w:embedRegular r:id="rId4" w:fontKey="{BACF25E8-E5C9-4B8B-8579-4EA0CF8D0F1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79FF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vAlign w:val="bottom"/>
        </w:tcPr>
        <w:p w14:paraId="3E1E8006">
          <w:pPr>
            <w:pStyle w:val="56"/>
            <w:jc w:val="both"/>
            <w:rPr>
              <w:rFonts w:hint="default" w:eastAsia="宋体"/>
              <w:sz w:val="18"/>
              <w:szCs w:val="24"/>
              <w:vertAlign w:val="baseline"/>
              <w:lang w:val="en-US" w:eastAsia="zh-CN"/>
            </w:rPr>
          </w:pPr>
          <w:r>
            <w:rPr>
              <w:sz w:val="18"/>
            </w:rPr>
            <mc:AlternateContent>
              <mc:Choice Requires="wps">
                <w:drawing>
                  <wp:anchor distT="0" distB="0" distL="114300" distR="114300" simplePos="0" relativeHeight="251661312" behindDoc="1" locked="0" layoutInCell="1" allowOverlap="1">
                    <wp:simplePos x="0" y="0"/>
                    <wp:positionH relativeFrom="page">
                      <wp:posOffset>2211705</wp:posOffset>
                    </wp:positionH>
                    <wp:positionV relativeFrom="page">
                      <wp:posOffset>280035</wp:posOffset>
                    </wp:positionV>
                    <wp:extent cx="1828800" cy="1828800"/>
                    <wp:effectExtent l="0" t="0" r="0" b="0"/>
                    <wp:wrapNone/>
                    <wp:docPr id="7" name="文本框 7"/>
                    <wp:cNvGraphicFramePr>
                      <a:extLst xmlns:a="http://schemas.openxmlformats.org/drawingml/2006/main">
                        <a:ext uri="{7FBC4E63-A832-4D11-8238-D91031DB1400}">
                          <s:tag xmlns="http://www.wps.cn/officeDocument/2013/wpsCustomData" xmlns:s="http://www.wps.cn/officeDocument/2013/wpsCustomData">
                            <s:item s:name="docerheaderfootertag" s:val="pagenumfooter"/>
                          </s:tag>
                        </a:ext>
                      </a:extLst>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57B14B">
                                <w:pPr>
                                  <w:pStyle w:val="56"/>
                                  <w:rPr>
                                    <w:rStyle w:val="93"/>
                                  </w:rPr>
                                </w:pPr>
                                <w:r>
                                  <w:rPr>
                                    <w:rStyle w:val="93"/>
                                  </w:rPr>
                                  <w:t xml:space="preserve">第 </w:t>
                                </w:r>
                                <w:r>
                                  <w:rPr>
                                    <w:rStyle w:val="93"/>
                                  </w:rPr>
                                  <w:fldChar w:fldCharType="begin"/>
                                </w:r>
                                <w:r>
                                  <w:rPr>
                                    <w:rStyle w:val="93"/>
                                  </w:rPr>
                                  <w:instrText xml:space="preserve"> PAGE  \* MERGEFORMAT </w:instrText>
                                </w:r>
                                <w:r>
                                  <w:rPr>
                                    <w:rStyle w:val="93"/>
                                  </w:rPr>
                                  <w:fldChar w:fldCharType="separate"/>
                                </w:r>
                                <w:r>
                                  <w:rPr>
                                    <w:rStyle w:val="93"/>
                                  </w:rPr>
                                  <w:t>1</w:t>
                                </w:r>
                                <w:r>
                                  <w:rPr>
                                    <w:rStyle w:val="93"/>
                                  </w:rPr>
                                  <w:fldChar w:fldCharType="end"/>
                                </w:r>
                                <w:r>
                                  <w:rPr>
                                    <w:rStyle w:val="93"/>
                                  </w:rPr>
                                  <w:t xml:space="preserve"> 页 共 </w:t>
                                </w:r>
                                <w:r>
                                  <w:rPr>
                                    <w:rStyle w:val="93"/>
                                  </w:rPr>
                                  <w:fldChar w:fldCharType="begin"/>
                                </w:r>
                                <w:r>
                                  <w:rPr>
                                    <w:rStyle w:val="93"/>
                                  </w:rPr>
                                  <w:instrText xml:space="preserve"> NUMPAGES  \* MERGEFORMAT </w:instrText>
                                </w:r>
                                <w:r>
                                  <w:rPr>
                                    <w:rStyle w:val="93"/>
                                  </w:rPr>
                                  <w:fldChar w:fldCharType="separate"/>
                                </w:r>
                                <w:r>
                                  <w:rPr>
                                    <w:rStyle w:val="93"/>
                                  </w:rPr>
                                  <w:t>5</w:t>
                                </w:r>
                                <w:r>
                                  <w:rPr>
                                    <w:rStyle w:val="93"/>
                                  </w:rPr>
                                  <w:fldChar w:fldCharType="end"/>
                                </w:r>
                                <w:r>
                                  <w:rPr>
                                    <w:rStyle w:val="93"/>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74.15pt;margin-top:22.05pt;height:144pt;width:144pt;mso-position-horizontal-relative:page;mso-position-vertical-relative:page;mso-wrap-style:none;z-index:-251655168;mso-width-relative:page;mso-height-relative:page;" filled="f" stroked="f" coordsize="21600,21600" o:gfxdata="UEsDBAoAAAAAAIdO4kAAAAAAAAAAAAAAAAAEAAAAZHJzL1BLAwQUAAAACACHTuJAiQ/4q9YAAAAK&#10;AQAADwAAAGRycy9kb3ducmV2LnhtbE2Py07DMBBF90j8gzVI7KiTOoqqEKcSFWGJRNMFSzcekoAf&#10;ke2m4e8ZVrCcuUd3ztT71Rq2YIiTdxLyTQYMXe/15AYJp6592AGLSTmtjHco4Rsj7Jvbm1pV2l/d&#10;Gy7HNDAqcbFSEsaU5orz2I9oVdz4GR1lHz5YlWgMA9dBXancGr7NspJbNTm6MKoZDyP2X8eLlXBo&#10;uy4sGIN5x5dWfL4+Ffi8Snl/l2ePwBKu6Q+GX31Sh4aczv7idGRGgih2glAJRZEDI6AUJS3OlIht&#10;Dryp+f8Xmh9QSwMEFAAAAAgAh07iQJ66C/ssAgAAVQQAAA4AAABkcnMvZTJvRG9jLnhtbK1UzY7T&#10;MBC+I/EOlu80aRG7VdV0VbYqQqrYlRbE2XWcJpL/ZLtNygPAG3Diwp3n6nPw2Wm6aOGwBy7O2DP+&#10;xt83M5nfdEqSg3C+Mbqg41FOidDclI3eFfTTx/WrKSU+MF0yabQo6FF4erN4+WLe2pmYmNrIUjgC&#10;EO1nrS1oHYKdZZnntVDMj4wVGs7KOMUCtm6XlY61QFcym+T5VdYaV1pnuPAep6veSc+I7jmApqoa&#10;LlaG75XQoUd1QrIASr5urKeL9NqqEjzcVZUXgciCgmlIK5LA3sY1W8zZbOeYrRt+fgJ7zhOecFKs&#10;0Uh6gVqxwMjeNX9BqYY7400VRtyorCeSFAGLcf5Em4eaWZG4QGpvL6L7/wfLPxzuHWnKgl5ToplC&#10;wU/fv51+/Dr9/Equozyt9TNEPVjEhe6t6dA0w7nHYWTdVU7FL/gQ+CHu8SKu6ALh8dJ0Mp3mcHH4&#10;hg3ws8fr1vnwThhFolFQh+olUdlh40MfOoTEbNqsGylTBaUmbUGvXr/J04WLB+BSI0ck0T82WqHb&#10;dmdmW1MeQcyZvjO85esGyTfMh3vm0Ap4MIYl3GGppEESc7YoqY378q/zGI8KwUtJi9YqqMYkUSLf&#10;a1QOgGEw3GBsB0Pv1a1Br44xhJYnExdckINZOaM+Y4KWMQdcTHNkKmgYzNvQtzcmkIvlMgWh1ywL&#10;G/1geYSO4nm73AcImHSNovRKnLVCt6XKnCcjtvOf+xT1+D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JD/ir1gAAAAoBAAAPAAAAAAAAAAEAIAAAACIAAABkcnMvZG93bnJldi54bWxQSwECFAAU&#10;AAAACACHTuJAnroL+ywCAABVBAAADgAAAAAAAAABACAAAAAlAQAAZHJzL2Uyb0RvYy54bWxQSwUG&#10;AAAAAAYABgBZAQAAwwUAAAAA&#10;">
                    <v:fill on="f" focussize="0,0"/>
                    <v:stroke on="f" weight="0.5pt"/>
                    <v:imagedata o:title=""/>
                    <o:lock v:ext="edit" aspectratio="f"/>
                    <v:textbox inset="0mm,0mm,0mm,0mm" style="mso-fit-shape-to-text:t;">
                      <w:txbxContent>
                        <w:p w14:paraId="5D57B14B">
                          <w:pPr>
                            <w:pStyle w:val="56"/>
                            <w:rPr>
                              <w:rStyle w:val="93"/>
                            </w:rPr>
                          </w:pPr>
                          <w:r>
                            <w:rPr>
                              <w:rStyle w:val="93"/>
                            </w:rPr>
                            <w:t xml:space="preserve">第 </w:t>
                          </w:r>
                          <w:r>
                            <w:rPr>
                              <w:rStyle w:val="93"/>
                            </w:rPr>
                            <w:fldChar w:fldCharType="begin"/>
                          </w:r>
                          <w:r>
                            <w:rPr>
                              <w:rStyle w:val="93"/>
                            </w:rPr>
                            <w:instrText xml:space="preserve"> PAGE  \* MERGEFORMAT </w:instrText>
                          </w:r>
                          <w:r>
                            <w:rPr>
                              <w:rStyle w:val="93"/>
                            </w:rPr>
                            <w:fldChar w:fldCharType="separate"/>
                          </w:r>
                          <w:r>
                            <w:rPr>
                              <w:rStyle w:val="93"/>
                            </w:rPr>
                            <w:t>1</w:t>
                          </w:r>
                          <w:r>
                            <w:rPr>
                              <w:rStyle w:val="93"/>
                            </w:rPr>
                            <w:fldChar w:fldCharType="end"/>
                          </w:r>
                          <w:r>
                            <w:rPr>
                              <w:rStyle w:val="93"/>
                            </w:rPr>
                            <w:t xml:space="preserve"> 页 共 </w:t>
                          </w:r>
                          <w:r>
                            <w:rPr>
                              <w:rStyle w:val="93"/>
                            </w:rPr>
                            <w:fldChar w:fldCharType="begin"/>
                          </w:r>
                          <w:r>
                            <w:rPr>
                              <w:rStyle w:val="93"/>
                            </w:rPr>
                            <w:instrText xml:space="preserve"> NUMPAGES  \* MERGEFORMAT </w:instrText>
                          </w:r>
                          <w:r>
                            <w:rPr>
                              <w:rStyle w:val="93"/>
                            </w:rPr>
                            <w:fldChar w:fldCharType="separate"/>
                          </w:r>
                          <w:r>
                            <w:rPr>
                              <w:rStyle w:val="93"/>
                            </w:rPr>
                            <w:t>5</w:t>
                          </w:r>
                          <w:r>
                            <w:rPr>
                              <w:rStyle w:val="93"/>
                            </w:rPr>
                            <w:fldChar w:fldCharType="end"/>
                          </w:r>
                          <w:r>
                            <w:rPr>
                              <w:rStyle w:val="93"/>
                            </w:rPr>
                            <w:t xml:space="preserve"> 页</w:t>
                          </w:r>
                        </w:p>
                      </w:txbxContent>
                    </v:textbox>
                  </v:shape>
                </w:pict>
              </mc:Fallback>
            </mc:AlternateContent>
          </w:r>
          <w:r>
            <w:rPr>
              <w:rFonts w:hint="eastAsia" w:eastAsia="宋体"/>
              <w:sz w:val="18"/>
              <w:szCs w:val="24"/>
              <w:vertAlign w:val="baseline"/>
              <w:lang w:val="en-US" w:eastAsia="zh-CN"/>
            </w:rPr>
            <w:t>咨询电话：</w:t>
          </w:r>
          <w:r>
            <w:rPr>
              <w:rFonts w:hint="eastAsia" w:ascii="宋体" w:hAnsi="宋体" w:eastAsia="宋体" w:cs="宋体"/>
              <w:sz w:val="18"/>
              <w:szCs w:val="24"/>
              <w:vertAlign w:val="baseline"/>
              <w:lang w:val="en-US" w:eastAsia="zh-CN"/>
            </w:rPr>
            <w:t>17863856198</w:t>
          </w:r>
        </w:p>
      </w:tc>
      <w:tc>
        <w:tcPr>
          <w:tcW w:w="4261" w:type="dxa"/>
          <w:tcBorders>
            <w:top w:val="nil"/>
            <w:left w:val="nil"/>
            <w:bottom w:val="nil"/>
            <w:right w:val="nil"/>
          </w:tcBorders>
          <w:vAlign w:val="bottom"/>
        </w:tcPr>
        <w:p w14:paraId="7A398AC5">
          <w:pPr>
            <w:pStyle w:val="56"/>
            <w:jc w:val="right"/>
            <w:rPr>
              <w:rFonts w:hint="default" w:eastAsia="宋体"/>
              <w:sz w:val="18"/>
              <w:szCs w:val="24"/>
              <w:vertAlign w:val="baseline"/>
              <w:lang w:val="en-US" w:eastAsia="zh-CN"/>
            </w:rPr>
          </w:pPr>
          <w:r>
            <w:rPr>
              <w:rFonts w:hint="eastAsia" w:eastAsia="宋体"/>
              <w:sz w:val="18"/>
              <w:szCs w:val="24"/>
              <w:vertAlign w:val="baseline"/>
              <w:lang w:val="en-US" w:eastAsia="zh-CN"/>
            </w:rPr>
            <w:t>网址：</w:t>
          </w:r>
          <w:r>
            <w:rPr>
              <w:rFonts w:hint="eastAsia" w:ascii="宋体" w:hAnsi="宋体" w:eastAsia="宋体" w:cs="宋体"/>
              <w:b w:val="0"/>
              <w:bCs w:val="0"/>
              <w:sz w:val="18"/>
              <w:szCs w:val="24"/>
              <w:vertAlign w:val="baseline"/>
              <w:lang w:val="en-US" w:eastAsia="zh-CN"/>
            </w:rPr>
            <w:t>www.sdnrbe.cn</w:t>
          </w:r>
        </w:p>
      </w:tc>
    </w:tr>
  </w:tbl>
  <w:p w14:paraId="3F5DB4A7">
    <w:pPr>
      <w:pStyle w:val="56"/>
      <w:jc w:val="both"/>
    </w:pPr>
    <w:r>
      <w:rPr>
        <w:sz w:val="18"/>
      </w:rPr>
      <mc:AlternateContent>
        <mc:Choice Requires="wps">
          <w:drawing>
            <wp:anchor distT="0" distB="0" distL="114300" distR="114300" simplePos="0" relativeHeight="251660288" behindDoc="1" locked="0" layoutInCell="1" allowOverlap="1">
              <wp:simplePos x="0" y="0"/>
              <wp:positionH relativeFrom="page">
                <wp:posOffset>727075</wp:posOffset>
              </wp:positionH>
              <wp:positionV relativeFrom="page">
                <wp:posOffset>9819640</wp:posOffset>
              </wp:positionV>
              <wp:extent cx="6162675" cy="0"/>
              <wp:effectExtent l="0" t="6350" r="0" b="6350"/>
              <wp:wrapNone/>
              <wp:docPr id="1" name="直接连接符 1"/>
              <wp:cNvGraphicFramePr>
                <a:extLst xmlns:a="http://schemas.openxmlformats.org/drawingml/2006/main">
                  <a:ext uri="{7FBC4E63-A832-4D11-8238-D91031DB1400}">
                    <s:tag xmlns="http://www.wps.cn/officeDocument/2013/wpsCustomData" xmlns:s="http://www.wps.cn/officeDocument/2013/wpsCustomData">
                      <s:item s:name="docerheaderfootertag" s:val="foot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7.25pt;margin-top:773.2pt;height:0pt;width:485.25pt;mso-position-horizontal-relative:page;mso-position-vertical-relative:page;z-index:-251656192;mso-width-relative:page;mso-height-relative:page;" filled="f" stroked="t" coordsize="21600,21600" o:gfxdata="UEsDBAoAAAAAAIdO4kAAAAAAAAAAAAAAAAAEAAAAZHJzL1BLAwQUAAAACACHTuJAC41p+dcAAAAO&#10;AQAADwAAAGRycy9kb3ducmV2LnhtbE2PT0vEMBDF74LfIYzgzU26tEupTfcgKHgRtiroLW1m27LN&#10;pDTp/vn2zh5Eb/NmHm9+r9ye3SiOOIfBk4ZkpUAgtd4O1Gn4eH9+yEGEaMia0RNquGCAbXV7U5rC&#10;+hPt8FjHTnAIhcJo6GOcCilD26MzYeUnJL7t/exMZDl30s7mxOFulGulNtKZgfhDbyZ86rE91IvT&#10;QM1LHPCyuM8dfb3lUb029fpb6/u7RD2CiHiOf2a44jM6VMzU+IVsECPrJM3YykOWblIQV4vKM+7X&#10;/O5kVcr/NaofUEsDBBQAAAAIAIdO4kDXOpL0/wEAAOsDAAAOAAAAZHJzL2Uyb0RvYy54bWytUzuO&#10;2zAQ7QPkDgT7WB9gtYZgeYs1Nk0+BpIcgKYoiQB/4NCWfYlcIEC6pEqZPrfJ5hgZUrI32TRbpKHI&#10;Gc6beY9Pq5ujVuQgPEhrGlosckqE4baVpm/oh/d3L5aUQGCmZcoa0dCTAHqzfv5sNbpalHawqhWe&#10;IIiBenQNHUJwdZYBH4RmsLBOGEx21msW8Oj7rPVsRHStsjLPq2y0vnXecgGA0c2UpDOifwqg7TrJ&#10;xcbyvRYmTKheKBaQEgzSAV2nabtO8PC260AEohqKTENasQnud3HN1itW9565QfJ5BPaUER5x0kwa&#10;bHqB2rDAyN7Lf6C05N6C7cKCW51NRJIiyKLIH2nzbmBOJC4oNbiL6PD/YPmbw9YT2aITKDFM44Pf&#10;f/r+8+OXXz8+43r/7Sspokijgxrv3pqtn0/gtj4yPnZexy9yIcck7OkirDgGwjFYFVVZXV9Rws+5&#10;7KHQeQgvhdUkbhqqpImcWc0OryBgM7x6vhLDxt5JpdK7KUNGHLy8zvE5OUMzdmgC3GqHhMD0lDDV&#10;o8t58AkSrJJtLI9A4PvdrfLkwNAbJQ5YVumS2uvXtp3Cy6scsadme41WmsLFOYyzzTBpzr/w49Ab&#10;BsNUklITkpYB/yAldUOXCD81QCRlECQKPUkbdzvbnpLiKY4eSG1mv0aT/XlO1Q//6P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C41p+dcAAAAOAQAADwAAAAAAAAABACAAAAAiAAAAZHJzL2Rvd25y&#10;ZXYueG1sUEsBAhQAFAAAAAgAh07iQNc6kvT/AQAA6wMAAA4AAAAAAAAAAQAgAAAAJgEAAGRycy9l&#10;Mm9Eb2MueG1sUEsFBgAAAAAGAAYAWQEAAJcFAAAAAA==&#10;">
              <v:fill on="f" focussize="0,0"/>
              <v:stroke weight="1pt" color="#262626 [2749]" miterlimit="8" joinstyle="miter"/>
              <v:imagedata o:title=""/>
              <o:lock v:ext="edit" aspectratio="f"/>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ind w:firstLine="560"/>
      </w:pPr>
      <w:r>
        <w:separator/>
      </w:r>
    </w:p>
  </w:footnote>
  <w:footnote w:type="continuationSeparator" w:id="1">
    <w:p>
      <w:pPr>
        <w:spacing w:before="0" w:after="0" w:line="288"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CD6C4">
    <w:pPr>
      <w:pStyle w:val="58"/>
      <w:jc w:val="both"/>
    </w:pPr>
    <w:r>
      <w:rPr>
        <w:rFonts w:ascii="宋体" w:hAnsi="宋体" w:eastAsia="宋体" w:cs="宋体"/>
        <w:sz w:val="24"/>
        <w:szCs w:val="24"/>
      </w:rPr>
      <w:drawing>
        <wp:anchor distT="0" distB="0" distL="114300" distR="114300" simplePos="0" relativeHeight="251664384" behindDoc="1" locked="0" layoutInCell="1" allowOverlap="1">
          <wp:simplePos x="0" y="0"/>
          <wp:positionH relativeFrom="column">
            <wp:posOffset>-441960</wp:posOffset>
          </wp:positionH>
          <wp:positionV relativeFrom="paragraph">
            <wp:posOffset>-201295</wp:posOffset>
          </wp:positionV>
          <wp:extent cx="1527175" cy="483870"/>
          <wp:effectExtent l="0" t="0" r="15875" b="11430"/>
          <wp:wrapNone/>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1"/>
                  <a:stretch>
                    <a:fillRect/>
                  </a:stretch>
                </pic:blipFill>
                <pic:spPr>
                  <a:xfrm>
                    <a:off x="0" y="0"/>
                    <a:ext cx="1527175" cy="483870"/>
                  </a:xfrm>
                  <a:prstGeom prst="rect">
                    <a:avLst/>
                  </a:prstGeom>
                  <a:noFill/>
                  <a:ln w="9525">
                    <a:noFill/>
                  </a:ln>
                </pic:spPr>
              </pic:pic>
            </a:graphicData>
          </a:graphic>
        </wp:anchor>
      </w:drawing>
    </w:r>
    <w:r>
      <w:drawing>
        <wp:anchor distT="0" distB="0" distL="114300" distR="114300" simplePos="0" relativeHeight="251662336" behindDoc="1" locked="0" layoutInCell="1" allowOverlap="1">
          <wp:simplePos x="0" y="0"/>
          <wp:positionH relativeFrom="column">
            <wp:posOffset>-171450</wp:posOffset>
          </wp:positionH>
          <wp:positionV relativeFrom="paragraph">
            <wp:posOffset>-171450</wp:posOffset>
          </wp:positionV>
          <wp:extent cx="1372870" cy="469265"/>
          <wp:effectExtent l="0" t="0" r="17780" b="6985"/>
          <wp:wrapNone/>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2"/>
                  <a:stretch>
                    <a:fillRect/>
                  </a:stretch>
                </pic:blipFill>
                <pic:spPr>
                  <a:xfrm>
                    <a:off x="0" y="0"/>
                    <a:ext cx="1372870" cy="469265"/>
                  </a:xfrm>
                  <a:prstGeom prst="rect">
                    <a:avLst/>
                  </a:prstGeom>
                  <a:noFill/>
                  <a:ln>
                    <a:noFill/>
                  </a:ln>
                </pic:spPr>
              </pic:pic>
            </a:graphicData>
          </a:graphic>
        </wp:anchor>
      </w:drawing>
    </w:r>
    <w:r>
      <mc:AlternateContent>
        <mc:Choice Requires="wps">
          <w:drawing>
            <wp:anchor distT="0" distB="0" distL="114300" distR="114300" simplePos="0" relativeHeight="251659264" behindDoc="1" locked="0" layoutInCell="1" allowOverlap="1">
              <wp:simplePos x="0" y="0"/>
              <wp:positionH relativeFrom="page">
                <wp:align>center</wp:align>
              </wp:positionH>
              <wp:positionV relativeFrom="page">
                <wp:posOffset>896620</wp:posOffset>
              </wp:positionV>
              <wp:extent cx="6162675" cy="0"/>
              <wp:effectExtent l="0" t="6350" r="0" b="6350"/>
              <wp:wrapNone/>
              <wp:docPr id="2" name="直接连接符 2"/>
              <wp:cNvGraphicFramePr>
                <a:extLst xmlns:a="http://schemas.openxmlformats.org/drawingml/2006/main">
                  <a:ext uri="{7FBC4E63-A832-4D11-8238-D91031DB1400}">
                    <s:tag xmlns="http://www.wps.cn/officeDocument/2013/wpsCustomData" xmlns:s="http://www.wps.cn/officeDocument/2013/wpsCustomData">
                      <s:item s:name="docerheaderfootertag" s:val="head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top:70.6pt;height:0pt;width:485.25pt;mso-position-horizontal:center;mso-position-horizontal-relative:page;mso-position-vertical-relative:page;z-index:-251657216;mso-width-relative:page;mso-height-relative:page;" filled="f" stroked="t" coordsize="21600,21600" o:gfxdata="UEsDBAoAAAAAAIdO4kAAAAAAAAAAAAAAAAAEAAAAZHJzL1BLAwQUAAAACACHTuJAYaoHJNQAAAAI&#10;AQAADwAAAGRycy9kb3ducmV2LnhtbE2PS0vEQBCE74L/YWjBmzuT4GONmexBUPAibFTQ2yTTJsFM&#10;T8h09vHvbUHQY1cV1V+Vm0MY1Q7nNESykK0MKKQ2+oE6C68vDxdrUIkdeTdGQgtHTLCpTk9KV/i4&#10;py3uau6UlFAqnIWeeSq0Tm2PwaVVnJDE+4xzcCzn3Gk/u72Uh1Hnxlzr4AaSD72b8L7H9qteggVq&#10;HnnA4xLetvT+vGbz1NT5h7XnZ5m5A8V44L8w/OALOlTC1MSFfFKjBRnCol5mOSixb2/MFajmV9FV&#10;qf8PqL4BUEsDBBQAAAAIAIdO4kAHgT/+AAIAAOsDAAAOAAAAZHJzL2Uyb0RvYy54bWytUzuO2zAQ&#10;7QPkDgT7WLKA9RqC5S3W2DT5GEhyAJoiJQL8gUNb9iVygQDpkipl+twmm2NkSMneZNNskYYiZzhv&#10;5j0+rW6ORpODCKCcbeh8VlIiLHetsl1DP7y/e7GkBCKzLdPOioaeBNCb9fNnq8HXonK9060IBEEs&#10;1INvaB+jr4sCeC8Mg5nzwmJSumBYxGPoijawAdGNLqqyXBSDC60PjgsAjG7GJJ0Qw1MAnZSKi43j&#10;eyNsHFGD0CwiJeiVB7rO00opeHwrJYhIdEORacwrNsH9Lq3FesXqLjDfKz6NwJ4ywiNOhimLTS9Q&#10;GxYZ2Qf1D5RRPDhwMs64M8VIJCuCLOblI23e9cyLzAWlBn8RHf4fLH9z2Aai2oZWlFhm8MHvP33/&#10;+fHLrx+fcb3/9pVUSaTBQ413b+02TCfw25AYH2Uw6YtcyDELe7oIK46RcAwu5otqcX1FCT/niodC&#10;HyC+FM6QtGmoVjZxZjU7vIKIzfDq+UoKW3entM7vpi0Z0MLVdYnPyRmaUaIJcGs8EgLbUcJ0hy7n&#10;MWRIcFq1qTwBQeh2tzqQA0NvVDhgtciX9N68du0YXl6ViD022xu00hien8M42wST5/wLPw29YdCP&#10;JTk1IhkV8Q/SyjR0ifBjA0TSFkGS0KO0abdz7SkrnuPogdxm8msy2Z/nXP3wj65/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GqByTUAAAACAEAAA8AAAAAAAAAAQAgAAAAIgAAAGRycy9kb3ducmV2&#10;LnhtbFBLAQIUABQAAAAIAIdO4kAHgT/+AAIAAOsDAAAOAAAAAAAAAAEAIAAAACMBAABkcnMvZTJv&#10;RG9jLnhtbFBLBQYAAAAABgAGAFkBAACVBQAAAAA=&#10;">
              <v:fill on="f" focussize="0,0"/>
              <v:stroke weight="1pt" color="#262626 [2749]" miterlimit="8" joinstyle="miter"/>
              <v:imagedata o:title=""/>
              <o:lock v:ext="edit" aspectratio="f"/>
            </v:line>
          </w:pict>
        </mc:Fallback>
      </mc:AlternateContent>
    </w:r>
    <w:r>
      <w:rPr>
        <w:sz w:val="18"/>
      </w:rPr>
      <w:pict>
        <v:shape id="PowerPlusWaterMarkObject101384" o:spid="_x0000_s4097" o:spt="136" type="#_x0000_t136" style="position:absolute;left:0pt;margin-left:226.8pt;margin-top:510.3pt;height:36.2pt;width:166.35pt;mso-position-horizontal-relative:margin;mso-position-vertical-relative:margin;rotation:-2949120f;z-index:-251653120;mso-width-relative:page;mso-height-relative:page;" fillcolor="#D0CECE" filled="t" stroked="f" coordsize="21600,21600" adj="10800">
          <v:path/>
          <v:fill on="t" opacity="29491f" focussize="0,0"/>
          <v:stroke on="f"/>
          <v:imagedata o:title=""/>
          <o:lock v:ext="edit" aspectratio="t"/>
          <v:textpath on="t" fitshape="t" fitpath="t" trim="t" xscale="f" string="纳睿博恩生物" style="font-family:微软雅黑;font-size:36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364513"/>
    <w:multiLevelType w:val="singleLevel"/>
    <w:tmpl w:val="A8364513"/>
    <w:lvl w:ilvl="0" w:tentative="0">
      <w:start w:val="1"/>
      <w:numFmt w:val="decimal"/>
      <w:suff w:val="nothing"/>
      <w:lvlText w:val="%1．"/>
      <w:lvlJc w:val="left"/>
      <w:pPr>
        <w:ind w:left="0" w:firstLine="400"/>
      </w:pPr>
      <w:rPr>
        <w:rFonts w:hint="default"/>
      </w:rPr>
    </w:lvl>
  </w:abstractNum>
  <w:abstractNum w:abstractNumId="1">
    <w:nsid w:val="B2A926D1"/>
    <w:multiLevelType w:val="singleLevel"/>
    <w:tmpl w:val="B2A926D1"/>
    <w:lvl w:ilvl="0" w:tentative="0">
      <w:start w:val="1"/>
      <w:numFmt w:val="bullet"/>
      <w:pStyle w:val="40"/>
      <w:lvlText w:val=""/>
      <w:lvlJc w:val="left"/>
      <w:pPr>
        <w:tabs>
          <w:tab w:val="left" w:pos="839"/>
        </w:tabs>
        <w:ind w:left="839" w:hanging="419"/>
      </w:pPr>
      <w:rPr>
        <w:rFonts w:hint="default" w:ascii="Wingdings" w:hAnsi="Wingdings" w:cs="Wingdings"/>
      </w:rPr>
    </w:lvl>
  </w:abstractNum>
  <w:abstractNum w:abstractNumId="2">
    <w:nsid w:val="BCF19EAF"/>
    <w:multiLevelType w:val="singleLevel"/>
    <w:tmpl w:val="BCF19EAF"/>
    <w:lvl w:ilvl="0" w:tentative="0">
      <w:start w:val="1"/>
      <w:numFmt w:val="decimal"/>
      <w:lvlText w:val="%1."/>
      <w:lvlJc w:val="left"/>
    </w:lvl>
  </w:abstractNum>
  <w:abstractNum w:abstractNumId="3">
    <w:nsid w:val="C58435B6"/>
    <w:multiLevelType w:val="singleLevel"/>
    <w:tmpl w:val="C58435B6"/>
    <w:lvl w:ilvl="0" w:tentative="0">
      <w:start w:val="1"/>
      <w:numFmt w:val="bullet"/>
      <w:pStyle w:val="24"/>
      <w:lvlText w:val=""/>
      <w:lvlJc w:val="left"/>
      <w:pPr>
        <w:ind w:left="420" w:firstLine="0"/>
      </w:pPr>
      <w:rPr>
        <w:rFonts w:hint="default" w:ascii="Wingdings" w:hAnsi="Wingdings"/>
      </w:rPr>
    </w:lvl>
  </w:abstractNum>
  <w:abstractNum w:abstractNumId="4">
    <w:nsid w:val="E1ED4FF5"/>
    <w:multiLevelType w:val="singleLevel"/>
    <w:tmpl w:val="E1ED4FF5"/>
    <w:lvl w:ilvl="0" w:tentative="0">
      <w:start w:val="1"/>
      <w:numFmt w:val="decimal"/>
      <w:suff w:val="nothing"/>
      <w:lvlText w:val="%1．"/>
      <w:lvlJc w:val="left"/>
      <w:pPr>
        <w:ind w:left="0" w:firstLine="400"/>
      </w:pPr>
      <w:rPr>
        <w:rFonts w:hint="default"/>
      </w:rPr>
    </w:lvl>
  </w:abstractNum>
  <w:abstractNum w:abstractNumId="5">
    <w:nsid w:val="E482BA5D"/>
    <w:multiLevelType w:val="singleLevel"/>
    <w:tmpl w:val="E482BA5D"/>
    <w:lvl w:ilvl="0" w:tentative="0">
      <w:start w:val="1"/>
      <w:numFmt w:val="bullet"/>
      <w:pStyle w:val="46"/>
      <w:lvlText w:val=""/>
      <w:lvlJc w:val="left"/>
      <w:pPr>
        <w:tabs>
          <w:tab w:val="left" w:pos="2098"/>
        </w:tabs>
        <w:ind w:left="2098" w:hanging="1678"/>
      </w:pPr>
      <w:rPr>
        <w:rFonts w:hint="default" w:ascii="Wingdings" w:hAnsi="Wingdings"/>
      </w:rPr>
    </w:lvl>
  </w:abstractNum>
  <w:abstractNum w:abstractNumId="6">
    <w:nsid w:val="E8ED2A96"/>
    <w:multiLevelType w:val="singleLevel"/>
    <w:tmpl w:val="E8ED2A96"/>
    <w:lvl w:ilvl="0" w:tentative="0">
      <w:start w:val="1"/>
      <w:numFmt w:val="decimal"/>
      <w:suff w:val="nothing"/>
      <w:lvlText w:val="%1．"/>
      <w:lvlJc w:val="left"/>
      <w:pPr>
        <w:ind w:left="0" w:firstLine="400"/>
      </w:pPr>
      <w:rPr>
        <w:rFonts w:hint="default"/>
      </w:rPr>
    </w:lvl>
  </w:abstractNum>
  <w:abstractNum w:abstractNumId="7">
    <w:nsid w:val="FEEA93E5"/>
    <w:multiLevelType w:val="singleLevel"/>
    <w:tmpl w:val="FEEA93E5"/>
    <w:lvl w:ilvl="0" w:tentative="0">
      <w:start w:val="1"/>
      <w:numFmt w:val="bullet"/>
      <w:pStyle w:val="17"/>
      <w:lvlText w:val=""/>
      <w:lvlJc w:val="left"/>
      <w:pPr>
        <w:tabs>
          <w:tab w:val="left" w:pos="1678"/>
        </w:tabs>
        <w:ind w:left="1678" w:hanging="1258"/>
      </w:pPr>
      <w:rPr>
        <w:rFonts w:hint="default" w:ascii="Wingdings" w:hAnsi="Wingdings"/>
      </w:rPr>
    </w:lvl>
  </w:abstractNum>
  <w:abstractNum w:abstractNumId="8">
    <w:nsid w:val="FFFFFF7C"/>
    <w:multiLevelType w:val="singleLevel"/>
    <w:tmpl w:val="FFFFFF7C"/>
    <w:lvl w:ilvl="0" w:tentative="0">
      <w:start w:val="1"/>
      <w:numFmt w:val="decimal"/>
      <w:pStyle w:val="66"/>
      <w:lvlText w:val="%1."/>
      <w:lvlJc w:val="left"/>
      <w:pPr>
        <w:tabs>
          <w:tab w:val="left" w:pos="2040"/>
        </w:tabs>
        <w:ind w:left="2040" w:leftChars="800" w:hanging="360" w:hangingChars="200"/>
      </w:pPr>
    </w:lvl>
  </w:abstractNum>
  <w:abstractNum w:abstractNumId="9">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10">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11">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12">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13">
    <w:nsid w:val="0A9A7887"/>
    <w:multiLevelType w:val="singleLevel"/>
    <w:tmpl w:val="0A9A7887"/>
    <w:lvl w:ilvl="0" w:tentative="0">
      <w:start w:val="1"/>
      <w:numFmt w:val="decimal"/>
      <w:suff w:val="nothing"/>
      <w:lvlText w:val="%1．"/>
      <w:lvlJc w:val="left"/>
      <w:pPr>
        <w:ind w:left="0" w:firstLine="400"/>
      </w:pPr>
      <w:rPr>
        <w:rFonts w:hint="default"/>
      </w:rPr>
    </w:lvl>
  </w:abstractNum>
  <w:abstractNum w:abstractNumId="14">
    <w:nsid w:val="28D3E4A0"/>
    <w:multiLevelType w:val="singleLevel"/>
    <w:tmpl w:val="28D3E4A0"/>
    <w:lvl w:ilvl="0" w:tentative="0">
      <w:start w:val="1"/>
      <w:numFmt w:val="bullet"/>
      <w:pStyle w:val="33"/>
      <w:lvlText w:val=""/>
      <w:lvlJc w:val="left"/>
      <w:pPr>
        <w:tabs>
          <w:tab w:val="left" w:pos="1259"/>
        </w:tabs>
        <w:ind w:left="1140" w:hanging="839"/>
      </w:pPr>
      <w:rPr>
        <w:rFonts w:hint="default" w:ascii="Wingdings" w:hAnsi="Wingdings"/>
      </w:rPr>
    </w:lvl>
  </w:abstractNum>
  <w:abstractNum w:abstractNumId="15">
    <w:nsid w:val="3BD9DDB7"/>
    <w:multiLevelType w:val="multilevel"/>
    <w:tmpl w:val="3BD9DDB7"/>
    <w:lvl w:ilvl="0" w:tentative="0">
      <w:start w:val="1"/>
      <w:numFmt w:val="chineseCounting"/>
      <w:pStyle w:val="3"/>
      <w:suff w:val="nothing"/>
      <w:lvlText w:val="%1、"/>
      <w:lvlJc w:val="left"/>
      <w:pPr>
        <w:tabs>
          <w:tab w:val="left" w:pos="0"/>
        </w:tabs>
        <w:ind w:left="0" w:firstLine="0"/>
      </w:pPr>
      <w:rPr>
        <w:rFonts w:hint="eastAsia" w:ascii="汉仪仿宋简" w:hAnsi="汉仪仿宋简" w:eastAsia="汉仪仿宋简"/>
      </w:rPr>
    </w:lvl>
    <w:lvl w:ilvl="1" w:tentative="0">
      <w:start w:val="1"/>
      <w:numFmt w:val="chineseCounting"/>
      <w:pStyle w:val="4"/>
      <w:suff w:val="nothing"/>
      <w:lvlText w:val="(%2) "/>
      <w:lvlJc w:val="left"/>
      <w:pPr>
        <w:tabs>
          <w:tab w:val="left" w:pos="0"/>
        </w:tabs>
        <w:ind w:left="0" w:firstLine="0"/>
      </w:pPr>
      <w:rPr>
        <w:rFonts w:hint="eastAsia" w:ascii="汉仪仿宋简" w:hAnsi="汉仪仿宋简" w:eastAsia="汉仪仿宋简"/>
      </w:rPr>
    </w:lvl>
    <w:lvl w:ilvl="2" w:tentative="0">
      <w:start w:val="1"/>
      <w:numFmt w:val="decimal"/>
      <w:pStyle w:val="5"/>
      <w:suff w:val="nothing"/>
      <w:lvlText w:val="(%3) "/>
      <w:lvlJc w:val="left"/>
      <w:pPr>
        <w:ind w:left="0" w:firstLine="0"/>
      </w:pPr>
      <w:rPr>
        <w:rFonts w:hint="eastAsia" w:ascii="汉仪仿宋简" w:hAnsi="汉仪仿宋简" w:eastAsia="汉仪仿宋简"/>
      </w:rPr>
    </w:lvl>
    <w:lvl w:ilvl="3" w:tentative="0">
      <w:start w:val="1"/>
      <w:numFmt w:val="upperLetter"/>
      <w:pStyle w:val="6"/>
      <w:suff w:val="nothing"/>
      <w:lvlText w:val="%4．"/>
      <w:lvlJc w:val="left"/>
      <w:pPr>
        <w:tabs>
          <w:tab w:val="left" w:pos="0"/>
        </w:tabs>
        <w:ind w:left="0" w:firstLine="0"/>
      </w:pPr>
      <w:rPr>
        <w:rFonts w:hint="eastAsia" w:ascii="汉仪仿宋简" w:hAnsi="汉仪仿宋简" w:eastAsia="汉仪仿宋简"/>
      </w:rPr>
    </w:lvl>
    <w:lvl w:ilvl="4" w:tentative="0">
      <w:start w:val="1"/>
      <w:numFmt w:val="lowerLetter"/>
      <w:pStyle w:val="7"/>
      <w:suff w:val="nothing"/>
      <w:lvlText w:val="%5．"/>
      <w:lvlJc w:val="left"/>
      <w:pPr>
        <w:tabs>
          <w:tab w:val="left" w:pos="0"/>
        </w:tabs>
        <w:ind w:left="0" w:firstLine="0"/>
      </w:pPr>
      <w:rPr>
        <w:rFonts w:hint="eastAsia" w:ascii="汉仪仿宋简" w:hAnsi="汉仪仿宋简" w:eastAsia="汉仪仿宋简"/>
      </w:rPr>
    </w:lvl>
    <w:lvl w:ilvl="5" w:tentative="0">
      <w:start w:val="1"/>
      <w:numFmt w:val="lowerLetter"/>
      <w:pStyle w:val="8"/>
      <w:suff w:val="nothing"/>
      <w:lvlText w:val="%6）"/>
      <w:lvlJc w:val="left"/>
      <w:pPr>
        <w:ind w:left="0" w:firstLine="0"/>
      </w:pPr>
      <w:rPr>
        <w:rFonts w:hint="eastAsia" w:ascii="汉仪仿宋简" w:hAnsi="汉仪仿宋简" w:eastAsia="汉仪仿宋简"/>
      </w:rPr>
    </w:lvl>
    <w:lvl w:ilvl="6" w:tentative="0">
      <w:start w:val="1"/>
      <w:numFmt w:val="upperRoman"/>
      <w:pStyle w:val="9"/>
      <w:suff w:val="nothing"/>
      <w:lvlText w:val="%7．"/>
      <w:lvlJc w:val="left"/>
      <w:pPr>
        <w:ind w:left="0" w:firstLine="0"/>
      </w:pPr>
      <w:rPr>
        <w:rFonts w:hint="eastAsia" w:ascii="汉仪仿宋简" w:hAnsi="汉仪仿宋简" w:eastAsia="汉仪仿宋简"/>
      </w:rPr>
    </w:lvl>
    <w:lvl w:ilvl="7" w:tentative="0">
      <w:start w:val="1"/>
      <w:numFmt w:val="lowerRoman"/>
      <w:pStyle w:val="10"/>
      <w:suff w:val="nothing"/>
      <w:lvlText w:val="%8．"/>
      <w:lvlJc w:val="left"/>
      <w:pPr>
        <w:ind w:left="0" w:firstLine="0"/>
      </w:pPr>
      <w:rPr>
        <w:rFonts w:hint="eastAsia" w:ascii="汉仪仿宋简" w:hAnsi="汉仪仿宋简" w:eastAsia="汉仪仿宋简"/>
      </w:rPr>
    </w:lvl>
    <w:lvl w:ilvl="8" w:tentative="0">
      <w:start w:val="1"/>
      <w:numFmt w:val="lowerRoman"/>
      <w:pStyle w:val="11"/>
      <w:suff w:val="nothing"/>
      <w:lvlText w:val="%9）"/>
      <w:lvlJc w:val="left"/>
      <w:pPr>
        <w:tabs>
          <w:tab w:val="left" w:pos="0"/>
        </w:tabs>
        <w:ind w:left="0" w:firstLine="0"/>
      </w:pPr>
      <w:rPr>
        <w:rFonts w:hint="eastAsia" w:ascii="汉仪仿宋简" w:hAnsi="汉仪仿宋简" w:eastAsia="汉仪仿宋简"/>
      </w:rPr>
    </w:lvl>
  </w:abstractNum>
  <w:abstractNum w:abstractNumId="16">
    <w:nsid w:val="60BA7A8F"/>
    <w:multiLevelType w:val="singleLevel"/>
    <w:tmpl w:val="60BA7A8F"/>
    <w:lvl w:ilvl="0" w:tentative="0">
      <w:start w:val="1"/>
      <w:numFmt w:val="decimal"/>
      <w:suff w:val="nothing"/>
      <w:lvlText w:val="%1．"/>
      <w:lvlJc w:val="left"/>
      <w:pPr>
        <w:ind w:left="0" w:firstLine="400"/>
      </w:pPr>
      <w:rPr>
        <w:rFonts w:hint="default"/>
      </w:rPr>
    </w:lvl>
  </w:abstractNum>
  <w:num w:numId="1">
    <w:abstractNumId w:val="15"/>
  </w:num>
  <w:num w:numId="2">
    <w:abstractNumId w:val="11"/>
  </w:num>
  <w:num w:numId="3">
    <w:abstractNumId w:val="7"/>
  </w:num>
  <w:num w:numId="4">
    <w:abstractNumId w:val="12"/>
  </w:num>
  <w:num w:numId="5">
    <w:abstractNumId w:val="3"/>
  </w:num>
  <w:num w:numId="6">
    <w:abstractNumId w:val="14"/>
  </w:num>
  <w:num w:numId="7">
    <w:abstractNumId w:val="10"/>
  </w:num>
  <w:num w:numId="8">
    <w:abstractNumId w:val="1"/>
  </w:num>
  <w:num w:numId="9">
    <w:abstractNumId w:val="5"/>
  </w:num>
  <w:num w:numId="10">
    <w:abstractNumId w:val="9"/>
  </w:num>
  <w:num w:numId="11">
    <w:abstractNumId w:val="8"/>
  </w:num>
  <w:num w:numId="12">
    <w:abstractNumId w:val="16"/>
  </w:num>
  <w:num w:numId="13">
    <w:abstractNumId w:val="4"/>
  </w:num>
  <w:num w:numId="14">
    <w:abstractNumId w:val="13"/>
  </w:num>
  <w:num w:numId="15">
    <w:abstractNumId w:val="0"/>
  </w:num>
  <w:num w:numId="16">
    <w:abstractNumId w:val="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856B88"/>
    <w:rsid w:val="05F45C37"/>
    <w:rsid w:val="064072EB"/>
    <w:rsid w:val="071A1256"/>
    <w:rsid w:val="075C7C95"/>
    <w:rsid w:val="0A6071C9"/>
    <w:rsid w:val="0BE77549"/>
    <w:rsid w:val="13116BD7"/>
    <w:rsid w:val="13EE774E"/>
    <w:rsid w:val="16835F40"/>
    <w:rsid w:val="1D087CF0"/>
    <w:rsid w:val="1ED73258"/>
    <w:rsid w:val="1F896D6A"/>
    <w:rsid w:val="223E3E3C"/>
    <w:rsid w:val="224D407F"/>
    <w:rsid w:val="29005793"/>
    <w:rsid w:val="2CC1297B"/>
    <w:rsid w:val="2E0D0283"/>
    <w:rsid w:val="2EB060C2"/>
    <w:rsid w:val="2ED450D5"/>
    <w:rsid w:val="319310CF"/>
    <w:rsid w:val="344D1A9D"/>
    <w:rsid w:val="34FE2942"/>
    <w:rsid w:val="3EDF3E59"/>
    <w:rsid w:val="41AD023F"/>
    <w:rsid w:val="48D41268"/>
    <w:rsid w:val="48F65BAB"/>
    <w:rsid w:val="4F7D74A2"/>
    <w:rsid w:val="526D56B7"/>
    <w:rsid w:val="53F8619B"/>
    <w:rsid w:val="57072B9A"/>
    <w:rsid w:val="5845652A"/>
    <w:rsid w:val="5902118D"/>
    <w:rsid w:val="5A1F5D26"/>
    <w:rsid w:val="5D4806FF"/>
    <w:rsid w:val="5DEF3829"/>
    <w:rsid w:val="61856B88"/>
    <w:rsid w:val="61A94127"/>
    <w:rsid w:val="63246FF1"/>
    <w:rsid w:val="68F20AA9"/>
    <w:rsid w:val="6D855C8A"/>
    <w:rsid w:val="705B0FA6"/>
    <w:rsid w:val="712E1AFD"/>
    <w:rsid w:val="73B40E35"/>
    <w:rsid w:val="74300A9E"/>
    <w:rsid w:val="74346A6F"/>
    <w:rsid w:val="746E765E"/>
    <w:rsid w:val="79733540"/>
    <w:rsid w:val="7CE53CE8"/>
    <w:rsid w:val="7D861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before="50" w:beforeLines="50" w:after="50" w:afterLines="50" w:line="288" w:lineRule="auto"/>
      <w:ind w:firstLine="480" w:firstLineChars="200"/>
      <w:jc w:val="both"/>
    </w:pPr>
    <w:rPr>
      <w:rFonts w:ascii="汉仪仿宋简" w:hAnsi="汉仪仿宋简" w:eastAsia="汉仪仿宋简" w:cstheme="minorBidi"/>
      <w:kern w:val="2"/>
      <w:sz w:val="28"/>
      <w:szCs w:val="24"/>
      <w:lang w:val="en-US" w:eastAsia="zh-CN" w:bidi="ar-SA"/>
    </w:rPr>
  </w:style>
  <w:style w:type="paragraph" w:styleId="3">
    <w:name w:val="heading 1"/>
    <w:next w:val="1"/>
    <w:qFormat/>
    <w:uiPriority w:val="9"/>
    <w:pPr>
      <w:keepNext/>
      <w:keepLines/>
      <w:numPr>
        <w:ilvl w:val="0"/>
        <w:numId w:val="1"/>
      </w:numPr>
      <w:adjustRightInd w:val="0"/>
      <w:snapToGrid w:val="0"/>
      <w:spacing w:before="100" w:beforeLines="100" w:line="288" w:lineRule="auto"/>
      <w:outlineLvl w:val="0"/>
    </w:pPr>
    <w:rPr>
      <w:rFonts w:ascii="汉仪仿宋简" w:hAnsi="汉仪仿宋简" w:eastAsia="汉仪仿宋简" w:cstheme="minorBidi"/>
      <w:b/>
      <w:bCs/>
      <w:kern w:val="44"/>
      <w:sz w:val="36"/>
      <w:szCs w:val="36"/>
      <w:lang w:val="en-US" w:eastAsia="zh-CN" w:bidi="ar-SA"/>
    </w:rPr>
  </w:style>
  <w:style w:type="paragraph" w:styleId="4">
    <w:name w:val="heading 2"/>
    <w:next w:val="1"/>
    <w:unhideWhenUsed/>
    <w:qFormat/>
    <w:uiPriority w:val="9"/>
    <w:pPr>
      <w:numPr>
        <w:ilvl w:val="1"/>
        <w:numId w:val="1"/>
      </w:numPr>
      <w:adjustRightInd w:val="0"/>
      <w:snapToGrid w:val="0"/>
      <w:spacing w:before="100" w:beforeLines="100" w:line="288" w:lineRule="auto"/>
      <w:outlineLvl w:val="1"/>
    </w:pPr>
    <w:rPr>
      <w:rFonts w:ascii="汉仪仿宋简" w:hAnsi="汉仪仿宋简" w:eastAsia="汉仪仿宋简" w:cstheme="minorBidi"/>
      <w:b/>
      <w:bCs/>
      <w:kern w:val="2"/>
      <w:sz w:val="32"/>
      <w:szCs w:val="32"/>
      <w:lang w:val="en-US" w:eastAsia="zh-CN" w:bidi="ar-SA"/>
    </w:rPr>
  </w:style>
  <w:style w:type="paragraph" w:styleId="5">
    <w:name w:val="heading 3"/>
    <w:next w:val="1"/>
    <w:unhideWhenUsed/>
    <w:qFormat/>
    <w:uiPriority w:val="9"/>
    <w:pPr>
      <w:numPr>
        <w:ilvl w:val="2"/>
        <w:numId w:val="1"/>
      </w:numPr>
      <w:tabs>
        <w:tab w:val="left" w:pos="420"/>
      </w:tabs>
      <w:adjustRightInd w:val="0"/>
      <w:snapToGrid w:val="0"/>
      <w:spacing w:before="100" w:beforeLines="100" w:line="288" w:lineRule="auto"/>
      <w:ind w:firstLine="0"/>
      <w:outlineLvl w:val="2"/>
    </w:pPr>
    <w:rPr>
      <w:rFonts w:ascii="汉仪仿宋简" w:hAnsi="汉仪仿宋简" w:eastAsia="汉仪仿宋简" w:cstheme="minorBidi"/>
      <w:b/>
      <w:kern w:val="2"/>
      <w:sz w:val="30"/>
      <w:szCs w:val="30"/>
      <w:lang w:val="en-US" w:eastAsia="zh-CN" w:bidi="ar-SA"/>
    </w:rPr>
  </w:style>
  <w:style w:type="paragraph" w:styleId="6">
    <w:name w:val="heading 4"/>
    <w:next w:val="1"/>
    <w:unhideWhenUsed/>
    <w:qFormat/>
    <w:uiPriority w:val="9"/>
    <w:pPr>
      <w:numPr>
        <w:ilvl w:val="3"/>
        <w:numId w:val="1"/>
      </w:numPr>
      <w:adjustRightInd w:val="0"/>
      <w:snapToGrid w:val="0"/>
      <w:spacing w:before="100" w:beforeLines="100" w:line="288" w:lineRule="auto"/>
      <w:ind w:firstLine="0"/>
      <w:outlineLvl w:val="3"/>
    </w:pPr>
    <w:rPr>
      <w:rFonts w:ascii="汉仪仿宋简" w:hAnsi="汉仪仿宋简" w:eastAsia="汉仪仿宋简" w:cstheme="minorBidi"/>
      <w:b/>
      <w:bCs/>
      <w:sz w:val="28"/>
      <w:szCs w:val="28"/>
      <w:lang w:val="en-US" w:eastAsia="zh-CN" w:bidi="ar-SA"/>
    </w:rPr>
  </w:style>
  <w:style w:type="paragraph" w:styleId="7">
    <w:name w:val="heading 5"/>
    <w:next w:val="1"/>
    <w:unhideWhenUsed/>
    <w:qFormat/>
    <w:uiPriority w:val="9"/>
    <w:pPr>
      <w:numPr>
        <w:ilvl w:val="4"/>
        <w:numId w:val="1"/>
      </w:numPr>
      <w:tabs>
        <w:tab w:val="left" w:pos="312"/>
        <w:tab w:val="clear" w:pos="0"/>
      </w:tabs>
      <w:adjustRightInd w:val="0"/>
      <w:snapToGrid w:val="0"/>
      <w:spacing w:before="100" w:beforeLines="100" w:line="288" w:lineRule="auto"/>
      <w:ind w:firstLine="0"/>
      <w:outlineLvl w:val="4"/>
    </w:pPr>
    <w:rPr>
      <w:rFonts w:ascii="汉仪仿宋简" w:hAnsi="汉仪仿宋简" w:eastAsia="汉仪仿宋简" w:cstheme="minorBidi"/>
      <w:b/>
      <w:bCs/>
      <w:sz w:val="24"/>
      <w:szCs w:val="24"/>
      <w:lang w:val="en-US" w:eastAsia="zh-CN" w:bidi="ar-SA"/>
    </w:rPr>
  </w:style>
  <w:style w:type="paragraph" w:styleId="8">
    <w:name w:val="heading 6"/>
    <w:next w:val="1"/>
    <w:unhideWhenUsed/>
    <w:qFormat/>
    <w:uiPriority w:val="0"/>
    <w:pPr>
      <w:numPr>
        <w:ilvl w:val="5"/>
        <w:numId w:val="1"/>
      </w:numPr>
      <w:tabs>
        <w:tab w:val="left" w:pos="0"/>
      </w:tabs>
      <w:adjustRightInd w:val="0"/>
      <w:snapToGrid w:val="0"/>
      <w:spacing w:before="100" w:beforeLines="100" w:line="288" w:lineRule="auto"/>
      <w:ind w:firstLine="0"/>
      <w:outlineLvl w:val="5"/>
    </w:pPr>
    <w:rPr>
      <w:rFonts w:ascii="汉仪仿宋简" w:hAnsi="汉仪仿宋简" w:eastAsia="汉仪仿宋简" w:cstheme="minorBidi"/>
      <w:b/>
      <w:bCs/>
      <w:sz w:val="24"/>
      <w:szCs w:val="24"/>
      <w:lang w:val="en-US" w:eastAsia="zh-CN" w:bidi="ar-SA"/>
    </w:rPr>
  </w:style>
  <w:style w:type="paragraph" w:styleId="9">
    <w:name w:val="heading 7"/>
    <w:next w:val="1"/>
    <w:unhideWhenUsed/>
    <w:qFormat/>
    <w:uiPriority w:val="0"/>
    <w:pPr>
      <w:numPr>
        <w:ilvl w:val="6"/>
        <w:numId w:val="1"/>
      </w:numPr>
      <w:tabs>
        <w:tab w:val="left" w:pos="0"/>
        <w:tab w:val="left" w:pos="420"/>
      </w:tabs>
      <w:adjustRightInd w:val="0"/>
      <w:snapToGrid w:val="0"/>
      <w:spacing w:before="100" w:beforeLines="100" w:line="288" w:lineRule="auto"/>
      <w:ind w:firstLine="0"/>
      <w:outlineLvl w:val="6"/>
    </w:pPr>
    <w:rPr>
      <w:rFonts w:ascii="汉仪仿宋简" w:hAnsi="汉仪仿宋简" w:eastAsia="汉仪仿宋简" w:cstheme="minorBidi"/>
      <w:b/>
      <w:bCs/>
      <w:sz w:val="24"/>
      <w:szCs w:val="24"/>
      <w:lang w:val="en-US" w:eastAsia="zh-CN" w:bidi="ar-SA"/>
    </w:rPr>
  </w:style>
  <w:style w:type="paragraph" w:styleId="10">
    <w:name w:val="heading 8"/>
    <w:next w:val="1"/>
    <w:unhideWhenUsed/>
    <w:qFormat/>
    <w:uiPriority w:val="0"/>
    <w:pPr>
      <w:numPr>
        <w:ilvl w:val="7"/>
        <w:numId w:val="1"/>
      </w:numPr>
      <w:tabs>
        <w:tab w:val="left" w:pos="420"/>
      </w:tabs>
      <w:adjustRightInd w:val="0"/>
      <w:snapToGrid w:val="0"/>
      <w:spacing w:before="100" w:beforeLines="100" w:line="288" w:lineRule="auto"/>
      <w:ind w:firstLine="0"/>
      <w:outlineLvl w:val="7"/>
    </w:pPr>
    <w:rPr>
      <w:rFonts w:ascii="汉仪仿宋简" w:hAnsi="汉仪仿宋简" w:eastAsia="汉仪仿宋简" w:cstheme="majorBidi"/>
      <w:b/>
      <w:bCs/>
      <w:sz w:val="24"/>
      <w:szCs w:val="24"/>
      <w:lang w:val="en-US" w:eastAsia="zh-CN" w:bidi="ar-SA"/>
    </w:rPr>
  </w:style>
  <w:style w:type="paragraph" w:styleId="11">
    <w:name w:val="heading 9"/>
    <w:next w:val="1"/>
    <w:unhideWhenUsed/>
    <w:qFormat/>
    <w:uiPriority w:val="0"/>
    <w:pPr>
      <w:numPr>
        <w:ilvl w:val="8"/>
        <w:numId w:val="1"/>
      </w:numPr>
      <w:tabs>
        <w:tab w:val="left" w:pos="420"/>
        <w:tab w:val="clear" w:pos="0"/>
      </w:tabs>
      <w:adjustRightInd w:val="0"/>
      <w:snapToGrid w:val="0"/>
      <w:spacing w:before="100" w:beforeLines="100" w:line="288" w:lineRule="auto"/>
      <w:ind w:firstLine="0"/>
      <w:outlineLvl w:val="8"/>
    </w:pPr>
    <w:rPr>
      <w:rFonts w:ascii="汉仪仿宋简" w:hAnsi="汉仪仿宋简" w:eastAsia="汉仪仿宋简" w:cstheme="majorBidi"/>
      <w:b/>
      <w:bCs/>
      <w:sz w:val="24"/>
      <w:szCs w:val="24"/>
      <w:lang w:val="en-US" w:eastAsia="zh-CN" w:bidi="ar-SA"/>
    </w:rPr>
  </w:style>
  <w:style w:type="character" w:default="1" w:styleId="90">
    <w:name w:val="Default Paragraph Font"/>
    <w:semiHidden/>
    <w:unhideWhenUsed/>
    <w:qFormat/>
    <w:uiPriority w:val="1"/>
  </w:style>
  <w:style w:type="table" w:default="1" w:styleId="88">
    <w:name w:val="Normal Table"/>
    <w:semiHidden/>
    <w:qFormat/>
    <w:uiPriority w:val="0"/>
    <w:tblPr>
      <w:tblCellMar>
        <w:top w:w="0" w:type="dxa"/>
        <w:left w:w="108" w:type="dxa"/>
        <w:bottom w:w="0" w:type="dxa"/>
        <w:right w:w="108" w:type="dxa"/>
      </w:tblCellMar>
    </w:tblPr>
  </w:style>
  <w:style w:type="paragraph" w:styleId="2">
    <w:name w:val="macro"/>
    <w:link w:val="116"/>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50" w:beforeLines="50" w:after="50" w:afterLines="50"/>
      <w:ind w:firstLine="480" w:firstLineChars="200"/>
    </w:pPr>
    <w:rPr>
      <w:rFonts w:ascii="Courier New" w:hAnsi="Courier New" w:eastAsia="宋体" w:cs="Courier New"/>
      <w:kern w:val="2"/>
      <w:sz w:val="24"/>
      <w:szCs w:val="24"/>
    </w:rPr>
  </w:style>
  <w:style w:type="paragraph" w:styleId="12">
    <w:name w:val="List 3"/>
    <w:basedOn w:val="1"/>
    <w:qFormat/>
    <w:uiPriority w:val="0"/>
    <w:pPr>
      <w:ind w:left="100" w:leftChars="400" w:hanging="200" w:hangingChars="200"/>
      <w:contextualSpacing/>
    </w:p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2"/>
      </w:numPr>
      <w:contextualSpacing/>
    </w:pPr>
  </w:style>
  <w:style w:type="paragraph" w:styleId="15">
    <w:name w:val="table of authorities"/>
    <w:basedOn w:val="1"/>
    <w:next w:val="1"/>
    <w:qFormat/>
    <w:uiPriority w:val="0"/>
    <w:pPr>
      <w:ind w:left="420" w:leftChars="200" w:firstLine="0"/>
    </w:pPr>
  </w:style>
  <w:style w:type="paragraph" w:styleId="16">
    <w:name w:val="Note Heading"/>
    <w:basedOn w:val="1"/>
    <w:next w:val="1"/>
    <w:link w:val="136"/>
    <w:qFormat/>
    <w:uiPriority w:val="0"/>
    <w:pPr>
      <w:jc w:val="center"/>
    </w:pPr>
    <w:rPr>
      <w:rFonts w:ascii="汉仪仿宋简" w:hAnsi="汉仪仿宋简" w:eastAsia="汉仪仿宋简"/>
      <w:kern w:val="2"/>
      <w:sz w:val="24"/>
      <w:szCs w:val="24"/>
    </w:rPr>
  </w:style>
  <w:style w:type="paragraph" w:styleId="17">
    <w:name w:val="List Bullet 4"/>
    <w:basedOn w:val="1"/>
    <w:qFormat/>
    <w:uiPriority w:val="0"/>
    <w:pPr>
      <w:numPr>
        <w:ilvl w:val="0"/>
        <w:numId w:val="3"/>
      </w:numPr>
      <w:tabs>
        <w:tab w:val="left" w:pos="1620"/>
      </w:tabs>
      <w:spacing w:before="156" w:after="156"/>
      <w:ind w:hanging="420"/>
    </w:pPr>
    <w:rPr>
      <w:rFonts w:ascii="汉仪仿宋简" w:hAnsi="汉仪仿宋简"/>
    </w:rPr>
  </w:style>
  <w:style w:type="paragraph" w:styleId="18">
    <w:name w:val="index 8"/>
    <w:basedOn w:val="1"/>
    <w:next w:val="1"/>
    <w:qFormat/>
    <w:uiPriority w:val="0"/>
    <w:pPr>
      <w:ind w:left="1400" w:leftChars="1400" w:firstLine="0"/>
    </w:pPr>
  </w:style>
  <w:style w:type="paragraph" w:styleId="19">
    <w:name w:val="E-mail Signature"/>
    <w:basedOn w:val="1"/>
    <w:link w:val="115"/>
    <w:qFormat/>
    <w:uiPriority w:val="0"/>
    <w:rPr>
      <w:rFonts w:ascii="汉仪仿宋简" w:hAnsi="汉仪仿宋简" w:eastAsia="汉仪仿宋简"/>
      <w:kern w:val="2"/>
      <w:sz w:val="24"/>
      <w:szCs w:val="24"/>
    </w:rPr>
  </w:style>
  <w:style w:type="paragraph" w:styleId="20">
    <w:name w:val="List Number"/>
    <w:basedOn w:val="1"/>
    <w:qFormat/>
    <w:uiPriority w:val="0"/>
    <w:pPr>
      <w:numPr>
        <w:ilvl w:val="0"/>
        <w:numId w:val="4"/>
      </w:numPr>
      <w:contextualSpacing/>
    </w:pPr>
  </w:style>
  <w:style w:type="paragraph" w:styleId="21">
    <w:name w:val="Normal Indent"/>
    <w:basedOn w:val="1"/>
    <w:qFormat/>
    <w:uiPriority w:val="0"/>
    <w:pPr>
      <w:ind w:firstLine="420"/>
    </w:pPr>
  </w:style>
  <w:style w:type="paragraph" w:styleId="22">
    <w:name w:val="caption"/>
    <w:basedOn w:val="1"/>
    <w:next w:val="1"/>
    <w:unhideWhenUsed/>
    <w:qFormat/>
    <w:uiPriority w:val="0"/>
    <w:pPr>
      <w:ind w:firstLine="0" w:firstLineChars="0"/>
    </w:pPr>
    <w:rPr>
      <w:sz w:val="20"/>
      <w:szCs w:val="20"/>
    </w:rPr>
  </w:style>
  <w:style w:type="paragraph" w:styleId="23">
    <w:name w:val="index 5"/>
    <w:basedOn w:val="1"/>
    <w:next w:val="1"/>
    <w:qFormat/>
    <w:uiPriority w:val="0"/>
    <w:pPr>
      <w:ind w:left="800" w:leftChars="800" w:firstLine="0"/>
    </w:pPr>
  </w:style>
  <w:style w:type="paragraph" w:styleId="24">
    <w:name w:val="List Bullet"/>
    <w:basedOn w:val="1"/>
    <w:qFormat/>
    <w:uiPriority w:val="0"/>
    <w:pPr>
      <w:numPr>
        <w:ilvl w:val="0"/>
        <w:numId w:val="5"/>
      </w:numPr>
      <w:tabs>
        <w:tab w:val="left" w:pos="420"/>
      </w:tabs>
      <w:spacing w:before="156" w:after="156"/>
      <w:ind w:hanging="420"/>
    </w:pPr>
    <w:rPr>
      <w:rFonts w:ascii="汉仪仿宋简" w:hAnsi="汉仪仿宋简"/>
    </w:rPr>
  </w:style>
  <w:style w:type="paragraph" w:styleId="25">
    <w:name w:val="envelope address"/>
    <w:basedOn w:val="1"/>
    <w:qFormat/>
    <w:uiPriority w:val="0"/>
    <w:pPr>
      <w:framePr w:w="7920" w:h="1980" w:hRule="exact" w:hSpace="180" w:wrap="auto" w:vAnchor="margin" w:hAnchor="page" w:xAlign="center" w:yAlign="bottom"/>
      <w:ind w:left="100" w:leftChars="1400"/>
    </w:pPr>
    <w:rPr>
      <w:rFonts w:ascii="汉仪中宋简" w:hAnsi="汉仪中宋简" w:eastAsia="汉仪中宋简" w:cstheme="majorBidi"/>
    </w:rPr>
  </w:style>
  <w:style w:type="paragraph" w:styleId="26">
    <w:name w:val="Document Map"/>
    <w:basedOn w:val="1"/>
    <w:link w:val="123"/>
    <w:qFormat/>
    <w:uiPriority w:val="0"/>
    <w:rPr>
      <w:rFonts w:ascii="Microsoft YaHei UI" w:hAnsi="汉仪仿宋简" w:eastAsia="Microsoft YaHei UI"/>
      <w:kern w:val="2"/>
      <w:sz w:val="18"/>
      <w:szCs w:val="18"/>
    </w:rPr>
  </w:style>
  <w:style w:type="paragraph" w:styleId="27">
    <w:name w:val="toa heading"/>
    <w:basedOn w:val="1"/>
    <w:next w:val="1"/>
    <w:qFormat/>
    <w:uiPriority w:val="0"/>
    <w:pPr>
      <w:spacing w:before="120"/>
    </w:pPr>
    <w:rPr>
      <w:rFonts w:ascii="汉仪中宋简" w:hAnsi="汉仪中宋简" w:eastAsia="汉仪中宋简" w:cstheme="majorBidi"/>
    </w:rPr>
  </w:style>
  <w:style w:type="paragraph" w:styleId="28">
    <w:name w:val="annotation text"/>
    <w:basedOn w:val="1"/>
    <w:qFormat/>
    <w:uiPriority w:val="0"/>
    <w:pPr>
      <w:ind w:firstLine="0" w:firstLineChars="0"/>
      <w:jc w:val="left"/>
    </w:pPr>
  </w:style>
  <w:style w:type="paragraph" w:styleId="29">
    <w:name w:val="index 6"/>
    <w:basedOn w:val="1"/>
    <w:next w:val="1"/>
    <w:qFormat/>
    <w:uiPriority w:val="0"/>
    <w:pPr>
      <w:ind w:left="1000" w:leftChars="1000" w:firstLine="0"/>
    </w:pPr>
  </w:style>
  <w:style w:type="paragraph" w:styleId="30">
    <w:name w:val="Salutation"/>
    <w:basedOn w:val="1"/>
    <w:next w:val="1"/>
    <w:qFormat/>
    <w:uiPriority w:val="0"/>
    <w:pPr>
      <w:ind w:firstLine="0" w:firstLineChars="0"/>
    </w:pPr>
    <w:rPr>
      <w:b/>
      <w:sz w:val="28"/>
      <w:szCs w:val="28"/>
    </w:rPr>
  </w:style>
  <w:style w:type="paragraph" w:styleId="31">
    <w:name w:val="Body Text 3"/>
    <w:basedOn w:val="1"/>
    <w:link w:val="129"/>
    <w:qFormat/>
    <w:uiPriority w:val="0"/>
    <w:pPr>
      <w:spacing w:after="120"/>
    </w:pPr>
    <w:rPr>
      <w:rFonts w:ascii="汉仪仿宋简" w:hAnsi="汉仪仿宋简" w:eastAsia="汉仪仿宋简"/>
      <w:kern w:val="2"/>
      <w:sz w:val="16"/>
      <w:szCs w:val="16"/>
    </w:rPr>
  </w:style>
  <w:style w:type="paragraph" w:styleId="32">
    <w:name w:val="Closing"/>
    <w:basedOn w:val="1"/>
    <w:link w:val="117"/>
    <w:qFormat/>
    <w:uiPriority w:val="0"/>
    <w:pPr>
      <w:ind w:left="100" w:leftChars="2100"/>
    </w:pPr>
    <w:rPr>
      <w:rFonts w:ascii="汉仪仿宋简" w:hAnsi="汉仪仿宋简" w:eastAsia="汉仪仿宋简"/>
      <w:kern w:val="2"/>
      <w:sz w:val="24"/>
      <w:szCs w:val="24"/>
    </w:rPr>
  </w:style>
  <w:style w:type="paragraph" w:styleId="33">
    <w:name w:val="List Bullet 3"/>
    <w:basedOn w:val="1"/>
    <w:qFormat/>
    <w:uiPriority w:val="0"/>
    <w:pPr>
      <w:numPr>
        <w:ilvl w:val="0"/>
        <w:numId w:val="6"/>
      </w:numPr>
      <w:spacing w:before="156" w:after="156"/>
      <w:ind w:left="1140" w:hanging="420" w:firstLineChars="0"/>
    </w:pPr>
    <w:rPr>
      <w:rFonts w:ascii="汉仪仿宋简" w:hAnsi="汉仪仿宋简"/>
    </w:rPr>
  </w:style>
  <w:style w:type="paragraph" w:styleId="34">
    <w:name w:val="Body Text"/>
    <w:basedOn w:val="1"/>
    <w:link w:val="130"/>
    <w:qFormat/>
    <w:uiPriority w:val="0"/>
    <w:pPr>
      <w:spacing w:after="50" w:afterLines="50" w:line="288" w:lineRule="auto"/>
      <w:ind w:firstLine="961"/>
    </w:pPr>
    <w:rPr>
      <w:rFonts w:ascii="汉仪仿宋简" w:hAnsi="汉仪仿宋简" w:eastAsia="汉仪仿宋简"/>
      <w:sz w:val="24"/>
      <w:szCs w:val="24"/>
    </w:rPr>
  </w:style>
  <w:style w:type="paragraph" w:styleId="35">
    <w:name w:val="Body Text Indent"/>
    <w:basedOn w:val="1"/>
    <w:link w:val="132"/>
    <w:qFormat/>
    <w:uiPriority w:val="0"/>
    <w:pPr>
      <w:spacing w:after="120"/>
      <w:ind w:left="420" w:leftChars="200"/>
    </w:pPr>
    <w:rPr>
      <w:rFonts w:ascii="汉仪仿宋简" w:hAnsi="汉仪仿宋简" w:eastAsia="汉仪仿宋简"/>
      <w:kern w:val="2"/>
      <w:sz w:val="24"/>
      <w:szCs w:val="24"/>
    </w:rPr>
  </w:style>
  <w:style w:type="paragraph" w:styleId="36">
    <w:name w:val="List Number 3"/>
    <w:basedOn w:val="1"/>
    <w:qFormat/>
    <w:uiPriority w:val="0"/>
    <w:pPr>
      <w:numPr>
        <w:ilvl w:val="0"/>
        <w:numId w:val="7"/>
      </w:numPr>
      <w:contextualSpacing/>
    </w:pPr>
  </w:style>
  <w:style w:type="paragraph" w:styleId="37">
    <w:name w:val="List 2"/>
    <w:basedOn w:val="1"/>
    <w:qFormat/>
    <w:uiPriority w:val="0"/>
    <w:pPr>
      <w:ind w:left="100" w:leftChars="200" w:hanging="200" w:hangingChars="200"/>
      <w:contextualSpacing/>
    </w:pPr>
  </w:style>
  <w:style w:type="paragraph" w:styleId="38">
    <w:name w:val="List Continue"/>
    <w:basedOn w:val="1"/>
    <w:qFormat/>
    <w:uiPriority w:val="0"/>
    <w:pPr>
      <w:spacing w:after="120"/>
      <w:ind w:left="420" w:leftChars="200"/>
      <w:contextualSpacing/>
    </w:pPr>
  </w:style>
  <w:style w:type="paragraph" w:styleId="39">
    <w:name w:val="Block Text"/>
    <w:basedOn w:val="1"/>
    <w:qFormat/>
    <w:uiPriority w:val="0"/>
    <w:pPr>
      <w:spacing w:after="120"/>
      <w:ind w:left="1440" w:leftChars="700" w:right="1440" w:rightChars="700"/>
    </w:pPr>
  </w:style>
  <w:style w:type="paragraph" w:styleId="40">
    <w:name w:val="List Bullet 2"/>
    <w:basedOn w:val="1"/>
    <w:qFormat/>
    <w:uiPriority w:val="0"/>
    <w:pPr>
      <w:numPr>
        <w:ilvl w:val="0"/>
        <w:numId w:val="8"/>
      </w:numPr>
      <w:spacing w:before="156" w:after="156"/>
      <w:ind w:left="839" w:hanging="420" w:firstLineChars="0"/>
    </w:pPr>
    <w:rPr>
      <w:rFonts w:ascii="汉仪仿宋简" w:hAnsi="汉仪仿宋简"/>
    </w:rPr>
  </w:style>
  <w:style w:type="paragraph" w:styleId="41">
    <w:name w:val="HTML Address"/>
    <w:basedOn w:val="1"/>
    <w:link w:val="111"/>
    <w:qFormat/>
    <w:uiPriority w:val="0"/>
    <w:rPr>
      <w:rFonts w:ascii="汉仪仿宋简" w:hAnsi="汉仪仿宋简" w:eastAsia="汉仪仿宋简"/>
      <w:i/>
      <w:iCs/>
      <w:kern w:val="2"/>
      <w:sz w:val="24"/>
      <w:szCs w:val="24"/>
    </w:rPr>
  </w:style>
  <w:style w:type="paragraph" w:styleId="42">
    <w:name w:val="index 4"/>
    <w:basedOn w:val="1"/>
    <w:next w:val="1"/>
    <w:qFormat/>
    <w:uiPriority w:val="0"/>
    <w:pPr>
      <w:ind w:left="600" w:leftChars="600" w:firstLine="0"/>
    </w:pPr>
  </w:style>
  <w:style w:type="paragraph" w:styleId="43">
    <w:name w:val="toc 5"/>
    <w:basedOn w:val="1"/>
    <w:next w:val="1"/>
    <w:qFormat/>
    <w:uiPriority w:val="0"/>
    <w:pPr>
      <w:ind w:left="2154" w:firstLine="0" w:firstLineChars="0"/>
    </w:pPr>
  </w:style>
  <w:style w:type="paragraph" w:styleId="44">
    <w:name w:val="toc 3"/>
    <w:basedOn w:val="1"/>
    <w:next w:val="1"/>
    <w:link w:val="101"/>
    <w:qFormat/>
    <w:uiPriority w:val="0"/>
    <w:pPr>
      <w:ind w:left="1587" w:hanging="454" w:firstLineChars="0"/>
    </w:pPr>
    <w:rPr>
      <w:rFonts w:ascii="汉仪仿宋简" w:hAnsi="汉仪仿宋简" w:eastAsia="汉仪仿宋简"/>
    </w:rPr>
  </w:style>
  <w:style w:type="paragraph" w:styleId="45">
    <w:name w:val="Plain Text"/>
    <w:basedOn w:val="1"/>
    <w:link w:val="114"/>
    <w:qFormat/>
    <w:uiPriority w:val="0"/>
    <w:rPr>
      <w:rFonts w:ascii="汉仪仿宋简" w:hAnsi="Courier New" w:cs="Courier New"/>
      <w:kern w:val="2"/>
      <w:sz w:val="24"/>
      <w:szCs w:val="24"/>
    </w:rPr>
  </w:style>
  <w:style w:type="paragraph" w:styleId="46">
    <w:name w:val="List Bullet 5"/>
    <w:basedOn w:val="1"/>
    <w:qFormat/>
    <w:uiPriority w:val="0"/>
    <w:pPr>
      <w:numPr>
        <w:ilvl w:val="0"/>
        <w:numId w:val="9"/>
      </w:numPr>
      <w:spacing w:before="156" w:after="156"/>
      <w:ind w:hanging="420"/>
    </w:pPr>
    <w:rPr>
      <w:rFonts w:ascii="汉仪仿宋简" w:hAnsi="汉仪仿宋简"/>
    </w:rPr>
  </w:style>
  <w:style w:type="paragraph" w:styleId="47">
    <w:name w:val="List Number 4"/>
    <w:basedOn w:val="1"/>
    <w:qFormat/>
    <w:uiPriority w:val="0"/>
    <w:pPr>
      <w:numPr>
        <w:ilvl w:val="0"/>
        <w:numId w:val="10"/>
      </w:numPr>
      <w:contextualSpacing/>
    </w:pPr>
  </w:style>
  <w:style w:type="paragraph" w:styleId="48">
    <w:name w:val="toc 8"/>
    <w:basedOn w:val="1"/>
    <w:next w:val="1"/>
    <w:qFormat/>
    <w:uiPriority w:val="0"/>
    <w:pPr>
      <w:ind w:left="2940" w:leftChars="1400"/>
    </w:pPr>
  </w:style>
  <w:style w:type="paragraph" w:styleId="49">
    <w:name w:val="index 3"/>
    <w:basedOn w:val="1"/>
    <w:next w:val="1"/>
    <w:qFormat/>
    <w:uiPriority w:val="0"/>
    <w:pPr>
      <w:ind w:left="400" w:leftChars="400" w:firstLine="0"/>
    </w:pPr>
  </w:style>
  <w:style w:type="paragraph" w:styleId="50">
    <w:name w:val="Date"/>
    <w:basedOn w:val="51"/>
    <w:next w:val="1"/>
    <w:link w:val="121"/>
    <w:qFormat/>
    <w:uiPriority w:val="0"/>
    <w:rPr>
      <w:rFonts w:ascii="汉仪仿宋简" w:hAnsi="汉仪仿宋简" w:eastAsia="汉仪仿宋简" w:cstheme="minorBidi"/>
      <w:kern w:val="2"/>
      <w:sz w:val="28"/>
      <w:szCs w:val="24"/>
      <w:lang w:val="en-US" w:eastAsia="zh-CN" w:bidi="ar-SA"/>
    </w:rPr>
  </w:style>
  <w:style w:type="paragraph" w:styleId="51">
    <w:name w:val="Signature"/>
    <w:basedOn w:val="1"/>
    <w:qFormat/>
    <w:uiPriority w:val="0"/>
    <w:pPr>
      <w:ind w:firstLine="0" w:firstLineChars="0"/>
      <w:jc w:val="right"/>
    </w:pPr>
    <w:rPr>
      <w:b/>
      <w:sz w:val="28"/>
    </w:rPr>
  </w:style>
  <w:style w:type="paragraph" w:styleId="52">
    <w:name w:val="Body Text Indent 2"/>
    <w:basedOn w:val="1"/>
    <w:link w:val="134"/>
    <w:qFormat/>
    <w:uiPriority w:val="0"/>
    <w:pPr>
      <w:spacing w:after="120" w:line="480" w:lineRule="auto"/>
      <w:ind w:left="420" w:leftChars="200"/>
    </w:pPr>
    <w:rPr>
      <w:rFonts w:ascii="汉仪仿宋简" w:hAnsi="汉仪仿宋简" w:eastAsia="汉仪仿宋简"/>
      <w:kern w:val="2"/>
      <w:sz w:val="24"/>
      <w:szCs w:val="24"/>
    </w:rPr>
  </w:style>
  <w:style w:type="paragraph" w:styleId="53">
    <w:name w:val="endnote text"/>
    <w:basedOn w:val="1"/>
    <w:qFormat/>
    <w:uiPriority w:val="0"/>
    <w:pPr>
      <w:ind w:firstLine="0" w:firstLineChars="0"/>
      <w:jc w:val="left"/>
    </w:pPr>
  </w:style>
  <w:style w:type="paragraph" w:styleId="54">
    <w:name w:val="List Continue 5"/>
    <w:basedOn w:val="1"/>
    <w:qFormat/>
    <w:uiPriority w:val="0"/>
    <w:pPr>
      <w:spacing w:after="120"/>
      <w:ind w:left="2100" w:leftChars="1000"/>
      <w:contextualSpacing/>
    </w:pPr>
  </w:style>
  <w:style w:type="paragraph" w:styleId="55">
    <w:name w:val="Balloon Text"/>
    <w:basedOn w:val="1"/>
    <w:qFormat/>
    <w:uiPriority w:val="0"/>
    <w:pPr>
      <w:ind w:firstLine="0" w:firstLineChars="0"/>
    </w:pPr>
    <w:rPr>
      <w:sz w:val="18"/>
    </w:rPr>
  </w:style>
  <w:style w:type="paragraph" w:styleId="56">
    <w:name w:val="footer"/>
    <w:basedOn w:val="1"/>
    <w:link w:val="137"/>
    <w:qFormat/>
    <w:uiPriority w:val="0"/>
    <w:pPr>
      <w:tabs>
        <w:tab w:val="center" w:pos="4153"/>
        <w:tab w:val="right" w:pos="8306"/>
      </w:tabs>
      <w:ind w:firstLine="0" w:firstLineChars="0"/>
      <w:jc w:val="center"/>
    </w:pPr>
    <w:rPr>
      <w:sz w:val="18"/>
    </w:rPr>
  </w:style>
  <w:style w:type="paragraph" w:styleId="57">
    <w:name w:val="envelope return"/>
    <w:basedOn w:val="1"/>
    <w:qFormat/>
    <w:uiPriority w:val="0"/>
    <w:rPr>
      <w:rFonts w:ascii="汉仪中宋简" w:hAnsi="汉仪中宋简" w:eastAsia="汉仪中宋简" w:cstheme="majorBidi"/>
    </w:rPr>
  </w:style>
  <w:style w:type="paragraph" w:styleId="5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ind w:firstLine="0" w:firstLineChars="0"/>
      <w:jc w:val="center"/>
    </w:pPr>
    <w:rPr>
      <w:sz w:val="18"/>
    </w:rPr>
  </w:style>
  <w:style w:type="paragraph" w:styleId="59">
    <w:name w:val="toc 1"/>
    <w:basedOn w:val="1"/>
    <w:next w:val="1"/>
    <w:qFormat/>
    <w:uiPriority w:val="0"/>
    <w:pPr>
      <w:ind w:left="624" w:hanging="624" w:firstLineChars="0"/>
    </w:pPr>
  </w:style>
  <w:style w:type="paragraph" w:styleId="60">
    <w:name w:val="List Continue 4"/>
    <w:basedOn w:val="1"/>
    <w:qFormat/>
    <w:uiPriority w:val="0"/>
    <w:pPr>
      <w:spacing w:after="120"/>
      <w:ind w:left="1680" w:leftChars="800"/>
      <w:contextualSpacing/>
    </w:pPr>
  </w:style>
  <w:style w:type="paragraph" w:styleId="61">
    <w:name w:val="toc 4"/>
    <w:basedOn w:val="1"/>
    <w:next w:val="1"/>
    <w:qFormat/>
    <w:uiPriority w:val="0"/>
    <w:pPr>
      <w:ind w:left="2098" w:hanging="567" w:firstLineChars="0"/>
    </w:pPr>
  </w:style>
  <w:style w:type="paragraph" w:styleId="62">
    <w:name w:val="index heading"/>
    <w:basedOn w:val="1"/>
    <w:next w:val="63"/>
    <w:qFormat/>
    <w:uiPriority w:val="0"/>
    <w:rPr>
      <w:rFonts w:ascii="汉仪中宋简" w:hAnsi="汉仪中宋简" w:eastAsia="汉仪中宋简" w:cstheme="majorBidi"/>
      <w:b/>
      <w:bCs/>
    </w:rPr>
  </w:style>
  <w:style w:type="paragraph" w:styleId="63">
    <w:name w:val="index 1"/>
    <w:basedOn w:val="1"/>
    <w:next w:val="1"/>
    <w:qFormat/>
    <w:uiPriority w:val="0"/>
    <w:pPr>
      <w:ind w:firstLine="0"/>
    </w:pPr>
  </w:style>
  <w:style w:type="paragraph" w:styleId="64">
    <w:name w:val="Subtitle"/>
    <w:basedOn w:val="65"/>
    <w:qFormat/>
    <w:uiPriority w:val="0"/>
    <w:pPr>
      <w:adjustRightInd w:val="0"/>
      <w:snapToGrid w:val="0"/>
      <w:spacing w:after="150" w:afterLines="150"/>
      <w:jc w:val="center"/>
      <w:outlineLvl w:val="1"/>
    </w:pPr>
    <w:rPr>
      <w:rFonts w:ascii="汉仪仿宋简" w:hAnsi="汉仪仿宋简" w:eastAsia="汉仪仿宋简" w:cs="Times New Roman"/>
      <w:bCs/>
      <w:kern w:val="2"/>
      <w:sz w:val="36"/>
      <w:szCs w:val="36"/>
      <w:lang w:val="en-US" w:eastAsia="zh-CN" w:bidi="ar-SA"/>
    </w:rPr>
  </w:style>
  <w:style w:type="paragraph" w:styleId="65">
    <w:name w:val="Title"/>
    <w:qFormat/>
    <w:uiPriority w:val="10"/>
    <w:pPr>
      <w:adjustRightInd w:val="0"/>
      <w:snapToGrid w:val="0"/>
      <w:spacing w:after="150" w:afterLines="150"/>
      <w:jc w:val="center"/>
      <w:outlineLvl w:val="0"/>
    </w:pPr>
    <w:rPr>
      <w:rFonts w:ascii="汉仪仿宋简" w:hAnsi="汉仪仿宋简" w:eastAsia="汉仪仿宋简" w:cstheme="minorBidi"/>
      <w:b/>
      <w:sz w:val="48"/>
      <w:szCs w:val="48"/>
      <w:lang w:val="en-US" w:eastAsia="zh-CN" w:bidi="ar-SA"/>
    </w:rPr>
  </w:style>
  <w:style w:type="paragraph" w:styleId="66">
    <w:name w:val="List Number 5"/>
    <w:basedOn w:val="1"/>
    <w:qFormat/>
    <w:uiPriority w:val="0"/>
    <w:pPr>
      <w:numPr>
        <w:ilvl w:val="0"/>
        <w:numId w:val="11"/>
      </w:numPr>
      <w:contextualSpacing/>
    </w:pPr>
  </w:style>
  <w:style w:type="paragraph" w:styleId="67">
    <w:name w:val="List"/>
    <w:basedOn w:val="1"/>
    <w:qFormat/>
    <w:uiPriority w:val="0"/>
    <w:pPr>
      <w:ind w:left="200" w:hanging="200" w:hangingChars="200"/>
      <w:contextualSpacing/>
    </w:pPr>
  </w:style>
  <w:style w:type="paragraph" w:styleId="68">
    <w:name w:val="footnote text"/>
    <w:basedOn w:val="1"/>
    <w:qFormat/>
    <w:uiPriority w:val="0"/>
    <w:pPr>
      <w:ind w:firstLine="0" w:firstLineChars="0"/>
      <w:jc w:val="left"/>
    </w:pPr>
    <w:rPr>
      <w:sz w:val="18"/>
      <w:szCs w:val="18"/>
    </w:rPr>
  </w:style>
  <w:style w:type="paragraph" w:styleId="69">
    <w:name w:val="toc 6"/>
    <w:basedOn w:val="1"/>
    <w:next w:val="1"/>
    <w:qFormat/>
    <w:uiPriority w:val="0"/>
    <w:pPr>
      <w:ind w:left="2100" w:leftChars="1000"/>
    </w:pPr>
  </w:style>
  <w:style w:type="paragraph" w:styleId="70">
    <w:name w:val="List 5"/>
    <w:basedOn w:val="1"/>
    <w:qFormat/>
    <w:uiPriority w:val="0"/>
    <w:pPr>
      <w:ind w:left="100" w:leftChars="800" w:hanging="200" w:hangingChars="200"/>
      <w:contextualSpacing/>
    </w:pPr>
  </w:style>
  <w:style w:type="paragraph" w:styleId="71">
    <w:name w:val="Body Text Indent 3"/>
    <w:basedOn w:val="1"/>
    <w:link w:val="135"/>
    <w:qFormat/>
    <w:uiPriority w:val="0"/>
    <w:pPr>
      <w:spacing w:after="120"/>
      <w:ind w:left="420" w:leftChars="200"/>
    </w:pPr>
    <w:rPr>
      <w:rFonts w:ascii="汉仪仿宋简" w:hAnsi="汉仪仿宋简" w:eastAsia="汉仪仿宋简"/>
      <w:kern w:val="2"/>
      <w:sz w:val="16"/>
      <w:szCs w:val="16"/>
    </w:rPr>
  </w:style>
  <w:style w:type="paragraph" w:styleId="72">
    <w:name w:val="index 7"/>
    <w:basedOn w:val="1"/>
    <w:next w:val="1"/>
    <w:qFormat/>
    <w:uiPriority w:val="0"/>
    <w:pPr>
      <w:ind w:left="1200" w:leftChars="1200" w:firstLine="0"/>
    </w:pPr>
  </w:style>
  <w:style w:type="paragraph" w:styleId="73">
    <w:name w:val="index 9"/>
    <w:basedOn w:val="1"/>
    <w:next w:val="1"/>
    <w:qFormat/>
    <w:uiPriority w:val="0"/>
    <w:pPr>
      <w:ind w:left="1600" w:leftChars="1600" w:firstLine="0"/>
    </w:pPr>
  </w:style>
  <w:style w:type="paragraph" w:styleId="74">
    <w:name w:val="table of figures"/>
    <w:basedOn w:val="1"/>
    <w:next w:val="1"/>
    <w:qFormat/>
    <w:uiPriority w:val="0"/>
    <w:pPr>
      <w:ind w:leftChars="200" w:hanging="200" w:hangingChars="200"/>
    </w:pPr>
  </w:style>
  <w:style w:type="paragraph" w:styleId="75">
    <w:name w:val="toc 2"/>
    <w:basedOn w:val="1"/>
    <w:next w:val="1"/>
    <w:qFormat/>
    <w:uiPriority w:val="0"/>
    <w:pPr>
      <w:ind w:left="1191" w:hanging="567" w:firstLineChars="0"/>
    </w:pPr>
  </w:style>
  <w:style w:type="paragraph" w:styleId="76">
    <w:name w:val="toc 9"/>
    <w:basedOn w:val="1"/>
    <w:next w:val="1"/>
    <w:qFormat/>
    <w:uiPriority w:val="0"/>
    <w:pPr>
      <w:ind w:left="3360" w:leftChars="1600"/>
    </w:pPr>
  </w:style>
  <w:style w:type="paragraph" w:styleId="77">
    <w:name w:val="Body Text 2"/>
    <w:basedOn w:val="1"/>
    <w:link w:val="128"/>
    <w:qFormat/>
    <w:uiPriority w:val="0"/>
    <w:pPr>
      <w:spacing w:after="120" w:line="480" w:lineRule="auto"/>
    </w:pPr>
    <w:rPr>
      <w:rFonts w:ascii="汉仪仿宋简" w:hAnsi="汉仪仿宋简" w:eastAsia="汉仪仿宋简"/>
      <w:kern w:val="2"/>
      <w:sz w:val="24"/>
      <w:szCs w:val="24"/>
    </w:rPr>
  </w:style>
  <w:style w:type="paragraph" w:styleId="78">
    <w:name w:val="List 4"/>
    <w:basedOn w:val="1"/>
    <w:qFormat/>
    <w:uiPriority w:val="0"/>
    <w:pPr>
      <w:ind w:left="100" w:leftChars="600" w:hanging="200" w:hangingChars="200"/>
      <w:contextualSpacing/>
    </w:pPr>
  </w:style>
  <w:style w:type="paragraph" w:styleId="79">
    <w:name w:val="List Continue 2"/>
    <w:basedOn w:val="1"/>
    <w:qFormat/>
    <w:uiPriority w:val="0"/>
    <w:pPr>
      <w:spacing w:after="120"/>
      <w:ind w:left="840" w:leftChars="400"/>
      <w:contextualSpacing/>
    </w:pPr>
  </w:style>
  <w:style w:type="paragraph" w:styleId="80">
    <w:name w:val="Message Header"/>
    <w:basedOn w:val="1"/>
    <w:link w:val="125"/>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汉仪中宋简" w:hAnsi="汉仪中宋简" w:eastAsia="汉仪中宋简" w:cstheme="majorBidi"/>
      <w:kern w:val="2"/>
      <w:sz w:val="24"/>
      <w:szCs w:val="24"/>
      <w:shd w:val="pct20" w:color="auto" w:fill="auto"/>
    </w:rPr>
  </w:style>
  <w:style w:type="paragraph" w:styleId="81">
    <w:name w:val="HTML Preformatted"/>
    <w:basedOn w:val="1"/>
    <w:link w:val="112"/>
    <w:qFormat/>
    <w:uiPriority w:val="0"/>
    <w:rPr>
      <w:rFonts w:ascii="Courier New" w:hAnsi="Courier New" w:eastAsia="汉仪仿宋简" w:cs="Courier New"/>
      <w:kern w:val="2"/>
    </w:rPr>
  </w:style>
  <w:style w:type="paragraph" w:styleId="82">
    <w:name w:val="Normal (Web)"/>
    <w:basedOn w:val="1"/>
    <w:qFormat/>
    <w:uiPriority w:val="0"/>
    <w:pPr>
      <w:ind w:firstLine="960"/>
    </w:pPr>
  </w:style>
  <w:style w:type="paragraph" w:styleId="83">
    <w:name w:val="List Continue 3"/>
    <w:basedOn w:val="1"/>
    <w:qFormat/>
    <w:uiPriority w:val="0"/>
    <w:pPr>
      <w:spacing w:after="120"/>
      <w:ind w:left="1260" w:leftChars="600"/>
      <w:contextualSpacing/>
    </w:pPr>
  </w:style>
  <w:style w:type="paragraph" w:styleId="84">
    <w:name w:val="index 2"/>
    <w:basedOn w:val="1"/>
    <w:next w:val="1"/>
    <w:qFormat/>
    <w:uiPriority w:val="0"/>
    <w:pPr>
      <w:ind w:left="200" w:leftChars="200" w:firstLine="0"/>
    </w:pPr>
  </w:style>
  <w:style w:type="paragraph" w:styleId="85">
    <w:name w:val="annotation subject"/>
    <w:basedOn w:val="28"/>
    <w:next w:val="28"/>
    <w:qFormat/>
    <w:uiPriority w:val="0"/>
    <w:rPr>
      <w:b/>
    </w:rPr>
  </w:style>
  <w:style w:type="paragraph" w:styleId="86">
    <w:name w:val="Body Text First Indent"/>
    <w:basedOn w:val="34"/>
    <w:link w:val="131"/>
    <w:qFormat/>
    <w:uiPriority w:val="0"/>
    <w:pPr>
      <w:widowControl w:val="0"/>
      <w:adjustRightInd w:val="0"/>
      <w:snapToGrid w:val="0"/>
      <w:spacing w:before="50" w:beforeLines="50" w:after="120"/>
      <w:ind w:firstLine="420" w:firstLineChars="100"/>
      <w:jc w:val="both"/>
    </w:pPr>
    <w:rPr>
      <w:rFonts w:ascii="汉仪仿宋简" w:hAnsi="汉仪仿宋简" w:eastAsia="汉仪仿宋简"/>
      <w:kern w:val="2"/>
      <w:sz w:val="24"/>
      <w:szCs w:val="24"/>
    </w:rPr>
  </w:style>
  <w:style w:type="paragraph" w:styleId="87">
    <w:name w:val="Body Text First Indent 2"/>
    <w:basedOn w:val="35"/>
    <w:link w:val="133"/>
    <w:qFormat/>
    <w:uiPriority w:val="0"/>
    <w:pPr>
      <w:ind w:firstLine="420"/>
    </w:pPr>
    <w:rPr>
      <w:rFonts w:ascii="汉仪仿宋简" w:hAnsi="汉仪仿宋简" w:eastAsia="汉仪仿宋简"/>
      <w:kern w:val="2"/>
      <w:sz w:val="24"/>
      <w:szCs w:val="24"/>
    </w:rPr>
  </w:style>
  <w:style w:type="table" w:styleId="89">
    <w:name w:val="Table Grid"/>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Strong"/>
    <w:basedOn w:val="90"/>
    <w:autoRedefine/>
    <w:qFormat/>
    <w:uiPriority w:val="22"/>
    <w:rPr>
      <w:rFonts w:ascii="汉仪仿宋简" w:hAnsi="汉仪仿宋简" w:eastAsia="汉仪仿宋简"/>
      <w:b/>
      <w:color w:val="auto"/>
      <w:u w:val="none"/>
    </w:rPr>
  </w:style>
  <w:style w:type="character" w:styleId="92">
    <w:name w:val="endnote reference"/>
    <w:basedOn w:val="90"/>
    <w:autoRedefine/>
    <w:qFormat/>
    <w:uiPriority w:val="0"/>
    <w:rPr>
      <w:vertAlign w:val="superscript"/>
    </w:rPr>
  </w:style>
  <w:style w:type="character" w:styleId="93">
    <w:name w:val="page number"/>
    <w:basedOn w:val="90"/>
    <w:autoRedefine/>
    <w:qFormat/>
    <w:uiPriority w:val="0"/>
    <w:rPr>
      <w:rFonts w:ascii="汉仪仿宋简" w:hAnsi="汉仪仿宋简" w:eastAsia="汉仪仿宋简"/>
      <w:color w:val="070707"/>
      <w:sz w:val="21"/>
      <w:szCs w:val="21"/>
      <w14:reflection w14:blurRad="0" w14:stA="100000" w14:stPos="0" w14:endA="0" w14:endPos="100000" w14:dist="50800" w14:dir="0" w14:fadeDir="0" w14:sx="0" w14:sy="0" w14:kx="0" w14:ky="0" w14:algn="b"/>
    </w:rPr>
  </w:style>
  <w:style w:type="character" w:styleId="94">
    <w:name w:val="FollowedHyperlink"/>
    <w:basedOn w:val="90"/>
    <w:autoRedefine/>
    <w:qFormat/>
    <w:uiPriority w:val="0"/>
    <w:rPr>
      <w:color w:val="800080"/>
      <w:u w:val="single"/>
    </w:rPr>
  </w:style>
  <w:style w:type="character" w:styleId="95">
    <w:name w:val="Emphasis"/>
    <w:basedOn w:val="90"/>
    <w:autoRedefine/>
    <w:qFormat/>
    <w:uiPriority w:val="20"/>
    <w:rPr>
      <w:rFonts w:ascii="汉仪仿宋简" w:hAnsi="汉仪仿宋简" w:eastAsia="汉仪仿宋简"/>
      <w:b/>
      <w:bCs/>
      <w:i/>
      <w:color w:val="C00000"/>
      <w:sz w:val="24"/>
      <w:szCs w:val="24"/>
    </w:rPr>
  </w:style>
  <w:style w:type="character" w:styleId="96">
    <w:name w:val="Hyperlink"/>
    <w:basedOn w:val="90"/>
    <w:autoRedefine/>
    <w:qFormat/>
    <w:uiPriority w:val="0"/>
    <w:rPr>
      <w:rFonts w:ascii="汉仪仿宋简" w:hAnsi="汉仪仿宋简" w:eastAsia="汉仪仿宋简"/>
      <w:color w:val="0000FF"/>
      <w:u w:val="single"/>
    </w:rPr>
  </w:style>
  <w:style w:type="character" w:styleId="97">
    <w:name w:val="annotation reference"/>
    <w:basedOn w:val="90"/>
    <w:autoRedefine/>
    <w:qFormat/>
    <w:uiPriority w:val="0"/>
    <w:rPr>
      <w:sz w:val="21"/>
    </w:rPr>
  </w:style>
  <w:style w:type="character" w:styleId="98">
    <w:name w:val="footnote reference"/>
    <w:basedOn w:val="90"/>
    <w:autoRedefine/>
    <w:qFormat/>
    <w:uiPriority w:val="0"/>
    <w:rPr>
      <w:vertAlign w:val="superscript"/>
    </w:rPr>
  </w:style>
  <w:style w:type="character" w:customStyle="1" w:styleId="99">
    <w:name w:val="font31"/>
    <w:basedOn w:val="90"/>
    <w:qFormat/>
    <w:uiPriority w:val="0"/>
    <w:rPr>
      <w:rFonts w:ascii="宋体" w:hAnsi="宋体" w:eastAsia="宋体" w:cs="宋体"/>
      <w:color w:val="000000"/>
      <w:sz w:val="24"/>
      <w:szCs w:val="24"/>
      <w:u w:val="none"/>
    </w:rPr>
  </w:style>
  <w:style w:type="paragraph" w:customStyle="1" w:styleId="100">
    <w:name w:val="目录标题"/>
    <w:qFormat/>
    <w:uiPriority w:val="0"/>
    <w:pPr>
      <w:adjustRightInd w:val="0"/>
      <w:snapToGrid w:val="0"/>
      <w:jc w:val="center"/>
    </w:pPr>
    <w:rPr>
      <w:rFonts w:ascii="汉仪仿宋简" w:hAnsi="汉仪仿宋简" w:eastAsia="汉仪仿宋简" w:cstheme="minorBidi"/>
      <w:b/>
      <w:bCs/>
      <w:sz w:val="32"/>
      <w:szCs w:val="32"/>
      <w:lang w:val="en-US" w:eastAsia="zh-CN" w:bidi="ar-SA"/>
    </w:rPr>
  </w:style>
  <w:style w:type="character" w:customStyle="1" w:styleId="101">
    <w:name w:val="TOC 3 字符"/>
    <w:link w:val="44"/>
    <w:autoRedefine/>
    <w:qFormat/>
    <w:uiPriority w:val="0"/>
    <w:rPr>
      <w:rFonts w:ascii="汉仪仿宋简" w:hAnsi="汉仪仿宋简" w:eastAsia="汉仪仿宋简"/>
    </w:rPr>
  </w:style>
  <w:style w:type="paragraph" w:customStyle="1" w:styleId="102">
    <w:name w:val="题注1"/>
    <w:basedOn w:val="1"/>
    <w:qFormat/>
    <w:uiPriority w:val="0"/>
    <w:pPr>
      <w:ind w:firstLine="0" w:firstLineChars="0"/>
    </w:pPr>
    <w:rPr>
      <w:sz w:val="20"/>
      <w:szCs w:val="20"/>
    </w:rPr>
  </w:style>
  <w:style w:type="paragraph" w:customStyle="1" w:styleId="103">
    <w:name w:val="文档说明标题"/>
    <w:next w:val="1"/>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bCs/>
      <w:kern w:val="44"/>
      <w:sz w:val="48"/>
      <w:szCs w:val="48"/>
      <w:lang w:val="en-US" w:eastAsia="zh-CN" w:bidi="ar-SA"/>
    </w:rPr>
  </w:style>
  <w:style w:type="paragraph" w:customStyle="1" w:styleId="104">
    <w:name w:val="章标题"/>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kern w:val="44"/>
      <w:sz w:val="36"/>
      <w:szCs w:val="36"/>
      <w:lang w:val="en-US" w:eastAsia="zh-CN" w:bidi="ar-SA"/>
    </w:rPr>
  </w:style>
  <w:style w:type="paragraph" w:customStyle="1" w:styleId="105">
    <w:name w:val="节标题"/>
    <w:qFormat/>
    <w:uiPriority w:val="0"/>
    <w:pPr>
      <w:keepNext/>
      <w:keepLines/>
      <w:tabs>
        <w:tab w:val="left" w:pos="0"/>
      </w:tabs>
      <w:adjustRightInd w:val="0"/>
      <w:snapToGrid w:val="0"/>
      <w:spacing w:before="100" w:beforeLines="100" w:line="288" w:lineRule="auto"/>
      <w:jc w:val="center"/>
    </w:pPr>
    <w:rPr>
      <w:rFonts w:ascii="汉仪仿宋简" w:hAnsi="汉仪仿宋简" w:eastAsia="汉仪仿宋简" w:cstheme="minorBidi"/>
      <w:b/>
      <w:bCs/>
      <w:kern w:val="2"/>
      <w:sz w:val="32"/>
      <w:szCs w:val="32"/>
      <w:lang w:val="en-US" w:eastAsia="zh-CN" w:bidi="ar-SA"/>
    </w:rPr>
  </w:style>
  <w:style w:type="paragraph" w:customStyle="1" w:styleId="106">
    <w:name w:val="附录标题"/>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bCs/>
      <w:kern w:val="44"/>
      <w:sz w:val="36"/>
      <w:szCs w:val="36"/>
      <w:lang w:val="en-US" w:eastAsia="zh-CN" w:bidi="ar-SA"/>
    </w:rPr>
  </w:style>
  <w:style w:type="character" w:customStyle="1" w:styleId="107">
    <w:name w:val="摘要"/>
    <w:basedOn w:val="90"/>
    <w:autoRedefine/>
    <w:qFormat/>
    <w:uiPriority w:val="0"/>
    <w:rPr>
      <w:rFonts w:hint="default" w:ascii="汉仪仿宋简" w:hAnsi="汉仪仿宋简" w:eastAsia="汉仪仿宋简" w:cs="Times New Roman"/>
      <w:b/>
      <w:bCs/>
      <w:sz w:val="24"/>
      <w:szCs w:val="24"/>
      <w:lang w:val="en-US" w:eastAsia="zh-CN"/>
    </w:rPr>
  </w:style>
  <w:style w:type="character" w:customStyle="1" w:styleId="108">
    <w:name w:val="参考文献条目"/>
    <w:basedOn w:val="90"/>
    <w:autoRedefine/>
    <w:qFormat/>
    <w:uiPriority w:val="0"/>
    <w:rPr>
      <w:rFonts w:hint="default" w:ascii="汉仪仿宋简" w:hAnsi="汉仪仿宋简" w:eastAsia="汉仪仿宋简" w:cs="Times New Roman"/>
      <w:sz w:val="21"/>
      <w:szCs w:val="21"/>
      <w:lang w:val="en-US" w:eastAsia="zh-CN"/>
    </w:rPr>
  </w:style>
  <w:style w:type="character" w:customStyle="1" w:styleId="109">
    <w:name w:val="关键词"/>
    <w:basedOn w:val="90"/>
    <w:autoRedefine/>
    <w:qFormat/>
    <w:uiPriority w:val="0"/>
    <w:rPr>
      <w:rFonts w:hint="default" w:ascii="汉仪仿宋简" w:hAnsi="汉仪仿宋简" w:eastAsia="汉仪仿宋简" w:cs="Times New Roman"/>
      <w:b/>
      <w:bCs/>
      <w:sz w:val="24"/>
      <w:szCs w:val="24"/>
      <w:lang w:val="en-US" w:eastAsia="zh-CN"/>
    </w:rPr>
  </w:style>
  <w:style w:type="character" w:customStyle="1" w:styleId="110">
    <w:name w:val="着重标题"/>
    <w:basedOn w:val="90"/>
    <w:autoRedefine/>
    <w:qFormat/>
    <w:uiPriority w:val="0"/>
    <w:rPr>
      <w:rFonts w:hint="default" w:ascii="汉仪仿宋简" w:hAnsi="汉仪仿宋简" w:eastAsia="汉仪仿宋简" w:cs="Times New Roman"/>
      <w:sz w:val="24"/>
      <w:szCs w:val="24"/>
      <w:lang w:val="en-US" w:eastAsia="zh-CN"/>
    </w:rPr>
  </w:style>
  <w:style w:type="character" w:customStyle="1" w:styleId="111">
    <w:name w:val="HTML 地址 字符"/>
    <w:basedOn w:val="90"/>
    <w:link w:val="41"/>
    <w:qFormat/>
    <w:uiPriority w:val="0"/>
    <w:rPr>
      <w:rFonts w:ascii="汉仪仿宋简" w:hAnsi="汉仪仿宋简" w:eastAsia="汉仪仿宋简"/>
      <w:i/>
      <w:iCs/>
      <w:kern w:val="2"/>
      <w:sz w:val="24"/>
      <w:szCs w:val="24"/>
    </w:rPr>
  </w:style>
  <w:style w:type="character" w:customStyle="1" w:styleId="112">
    <w:name w:val="HTML 预设格式 字符"/>
    <w:basedOn w:val="90"/>
    <w:link w:val="81"/>
    <w:qFormat/>
    <w:uiPriority w:val="0"/>
    <w:rPr>
      <w:rFonts w:ascii="Courier New" w:hAnsi="Courier New" w:eastAsia="汉仪仿宋简" w:cs="Courier New"/>
      <w:kern w:val="2"/>
    </w:rPr>
  </w:style>
  <w:style w:type="paragraph" w:customStyle="1" w:styleId="113">
    <w:name w:val="TOC Heading"/>
    <w:basedOn w:val="3"/>
    <w:next w:val="1"/>
    <w:semiHidden/>
    <w:unhideWhenUsed/>
    <w:qFormat/>
    <w:uiPriority w:val="39"/>
    <w:pPr>
      <w:widowControl w:val="0"/>
      <w:numPr>
        <w:numId w:val="0"/>
      </w:numPr>
      <w:spacing w:before="340" w:beforeLines="50" w:after="330" w:afterLines="50" w:line="578" w:lineRule="auto"/>
      <w:ind w:firstLine="480" w:firstLineChars="200"/>
      <w:jc w:val="both"/>
      <w:outlineLvl w:val="9"/>
    </w:pPr>
    <w:rPr>
      <w:sz w:val="44"/>
      <w:szCs w:val="44"/>
    </w:rPr>
  </w:style>
  <w:style w:type="character" w:customStyle="1" w:styleId="114">
    <w:name w:val="纯文本 字符"/>
    <w:basedOn w:val="90"/>
    <w:link w:val="45"/>
    <w:qFormat/>
    <w:uiPriority w:val="0"/>
    <w:rPr>
      <w:rFonts w:ascii="汉仪仿宋简" w:hAnsi="Courier New" w:cs="Courier New"/>
      <w:kern w:val="2"/>
      <w:sz w:val="24"/>
      <w:szCs w:val="24"/>
    </w:rPr>
  </w:style>
  <w:style w:type="character" w:customStyle="1" w:styleId="115">
    <w:name w:val="电子邮件签名 字符"/>
    <w:basedOn w:val="90"/>
    <w:link w:val="19"/>
    <w:qFormat/>
    <w:uiPriority w:val="0"/>
    <w:rPr>
      <w:rFonts w:ascii="汉仪仿宋简" w:hAnsi="汉仪仿宋简" w:eastAsia="汉仪仿宋简"/>
      <w:kern w:val="2"/>
      <w:sz w:val="24"/>
      <w:szCs w:val="24"/>
    </w:rPr>
  </w:style>
  <w:style w:type="character" w:customStyle="1" w:styleId="116">
    <w:name w:val="宏文本 字符"/>
    <w:basedOn w:val="90"/>
    <w:link w:val="2"/>
    <w:qFormat/>
    <w:uiPriority w:val="0"/>
    <w:rPr>
      <w:rFonts w:ascii="Courier New" w:hAnsi="Courier New" w:eastAsia="宋体" w:cs="Courier New"/>
      <w:kern w:val="2"/>
      <w:sz w:val="24"/>
      <w:szCs w:val="24"/>
    </w:rPr>
  </w:style>
  <w:style w:type="character" w:customStyle="1" w:styleId="117">
    <w:name w:val="结束语 字符"/>
    <w:basedOn w:val="90"/>
    <w:link w:val="32"/>
    <w:qFormat/>
    <w:uiPriority w:val="0"/>
    <w:rPr>
      <w:rFonts w:ascii="汉仪仿宋简" w:hAnsi="汉仪仿宋简" w:eastAsia="汉仪仿宋简"/>
      <w:kern w:val="2"/>
      <w:sz w:val="24"/>
      <w:szCs w:val="24"/>
    </w:rPr>
  </w:style>
  <w:style w:type="paragraph" w:styleId="118">
    <w:name w:val="List Paragraph"/>
    <w:basedOn w:val="1"/>
    <w:qFormat/>
    <w:uiPriority w:val="99"/>
    <w:pPr>
      <w:ind w:firstLine="420"/>
    </w:pPr>
  </w:style>
  <w:style w:type="paragraph" w:styleId="119">
    <w:name w:val="Intense Quote"/>
    <w:basedOn w:val="1"/>
    <w:next w:val="1"/>
    <w:link w:val="120"/>
    <w:qFormat/>
    <w:uiPriority w:val="99"/>
    <w:pPr>
      <w:pBdr>
        <w:top w:val="single" w:color="C10230" w:themeColor="accent1" w:sz="4" w:space="10"/>
        <w:bottom w:val="single" w:color="C10230" w:themeColor="accent1" w:sz="4" w:space="10"/>
      </w:pBdr>
      <w:spacing w:before="360" w:after="360"/>
      <w:ind w:left="864" w:right="864"/>
      <w:jc w:val="center"/>
    </w:pPr>
    <w:rPr>
      <w:rFonts w:ascii="汉仪仿宋简" w:hAnsi="汉仪仿宋简" w:eastAsia="汉仪仿宋简"/>
      <w:i/>
      <w:iCs/>
      <w:color w:val="C10230" w:themeColor="accent1"/>
      <w:kern w:val="2"/>
      <w:sz w:val="24"/>
      <w:szCs w:val="24"/>
      <w14:textFill>
        <w14:solidFill>
          <w14:schemeClr w14:val="accent1"/>
        </w14:solidFill>
      </w14:textFill>
    </w:rPr>
  </w:style>
  <w:style w:type="character" w:customStyle="1" w:styleId="120">
    <w:name w:val="明显引用 字符"/>
    <w:basedOn w:val="90"/>
    <w:link w:val="119"/>
    <w:qFormat/>
    <w:uiPriority w:val="99"/>
    <w:rPr>
      <w:rFonts w:ascii="汉仪仿宋简" w:hAnsi="汉仪仿宋简" w:eastAsia="汉仪仿宋简"/>
      <w:i/>
      <w:iCs/>
      <w:color w:val="C10230" w:themeColor="accent1"/>
      <w:kern w:val="2"/>
      <w:sz w:val="24"/>
      <w:szCs w:val="24"/>
      <w14:textFill>
        <w14:solidFill>
          <w14:schemeClr w14:val="accent1"/>
        </w14:solidFill>
      </w14:textFill>
    </w:rPr>
  </w:style>
  <w:style w:type="character" w:customStyle="1" w:styleId="121">
    <w:name w:val="日期 字符"/>
    <w:link w:val="50"/>
    <w:qFormat/>
    <w:uiPriority w:val="0"/>
    <w:rPr>
      <w:rFonts w:ascii="汉仪仿宋简" w:hAnsi="汉仪仿宋简" w:eastAsia="汉仪仿宋简" w:cstheme="minorBidi"/>
      <w:b/>
      <w:kern w:val="2"/>
      <w:sz w:val="28"/>
      <w:szCs w:val="24"/>
      <w:lang w:val="en-US" w:eastAsia="zh-CN" w:bidi="ar-SA"/>
    </w:rPr>
  </w:style>
  <w:style w:type="paragraph" w:customStyle="1" w:styleId="122">
    <w:name w:val="Bibliography"/>
    <w:basedOn w:val="1"/>
    <w:next w:val="1"/>
    <w:semiHidden/>
    <w:unhideWhenUsed/>
    <w:qFormat/>
    <w:uiPriority w:val="37"/>
  </w:style>
  <w:style w:type="character" w:customStyle="1" w:styleId="123">
    <w:name w:val="文档结构图 字符"/>
    <w:basedOn w:val="90"/>
    <w:link w:val="26"/>
    <w:qFormat/>
    <w:uiPriority w:val="0"/>
    <w:rPr>
      <w:rFonts w:ascii="Microsoft YaHei UI" w:hAnsi="汉仪仿宋简" w:eastAsia="Microsoft YaHei UI"/>
      <w:kern w:val="2"/>
      <w:sz w:val="18"/>
      <w:szCs w:val="18"/>
    </w:rPr>
  </w:style>
  <w:style w:type="paragraph" w:styleId="124">
    <w:name w:val="No Spacing"/>
    <w:qFormat/>
    <w:uiPriority w:val="99"/>
    <w:pPr>
      <w:widowControl w:val="0"/>
      <w:adjustRightInd w:val="0"/>
      <w:snapToGrid w:val="0"/>
      <w:spacing w:beforeLines="50" w:afterLines="50"/>
      <w:ind w:firstLine="480" w:firstLineChars="200"/>
      <w:jc w:val="both"/>
    </w:pPr>
    <w:rPr>
      <w:rFonts w:ascii="汉仪仿宋简" w:hAnsi="汉仪仿宋简" w:eastAsia="汉仪仿宋简" w:cstheme="minorBidi"/>
      <w:kern w:val="2"/>
      <w:sz w:val="24"/>
      <w:szCs w:val="24"/>
      <w:lang w:val="en-US" w:eastAsia="zh-CN" w:bidi="ar-SA"/>
    </w:rPr>
  </w:style>
  <w:style w:type="character" w:customStyle="1" w:styleId="125">
    <w:name w:val="信息标题 字符"/>
    <w:basedOn w:val="90"/>
    <w:link w:val="80"/>
    <w:qFormat/>
    <w:uiPriority w:val="0"/>
    <w:rPr>
      <w:rFonts w:ascii="汉仪中宋简" w:hAnsi="汉仪中宋简" w:eastAsia="汉仪中宋简" w:cstheme="majorBidi"/>
      <w:kern w:val="2"/>
      <w:sz w:val="24"/>
      <w:szCs w:val="24"/>
      <w:shd w:val="pct20" w:color="auto" w:fill="auto"/>
    </w:rPr>
  </w:style>
  <w:style w:type="paragraph" w:styleId="126">
    <w:name w:val="Quote"/>
    <w:basedOn w:val="1"/>
    <w:next w:val="1"/>
    <w:link w:val="127"/>
    <w:qFormat/>
    <w:uiPriority w:val="99"/>
    <w:pPr>
      <w:spacing w:before="200" w:after="160"/>
      <w:ind w:left="864" w:right="864"/>
      <w:jc w:val="center"/>
    </w:pPr>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27">
    <w:name w:val="引用 字符"/>
    <w:basedOn w:val="90"/>
    <w:link w:val="126"/>
    <w:qFormat/>
    <w:uiPriority w:val="99"/>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28">
    <w:name w:val="正文文本 2 字符"/>
    <w:basedOn w:val="90"/>
    <w:link w:val="77"/>
    <w:qFormat/>
    <w:uiPriority w:val="0"/>
    <w:rPr>
      <w:rFonts w:ascii="汉仪仿宋简" w:hAnsi="汉仪仿宋简" w:eastAsia="汉仪仿宋简"/>
      <w:kern w:val="2"/>
      <w:sz w:val="24"/>
      <w:szCs w:val="24"/>
    </w:rPr>
  </w:style>
  <w:style w:type="character" w:customStyle="1" w:styleId="129">
    <w:name w:val="正文文本 3 字符"/>
    <w:basedOn w:val="90"/>
    <w:link w:val="31"/>
    <w:qFormat/>
    <w:uiPriority w:val="0"/>
    <w:rPr>
      <w:rFonts w:ascii="汉仪仿宋简" w:hAnsi="汉仪仿宋简" w:eastAsia="汉仪仿宋简"/>
      <w:kern w:val="2"/>
      <w:sz w:val="16"/>
      <w:szCs w:val="16"/>
    </w:rPr>
  </w:style>
  <w:style w:type="character" w:customStyle="1" w:styleId="130">
    <w:name w:val="正文文本 字符"/>
    <w:basedOn w:val="90"/>
    <w:link w:val="34"/>
    <w:qFormat/>
    <w:uiPriority w:val="0"/>
    <w:rPr>
      <w:rFonts w:ascii="汉仪仿宋简" w:hAnsi="汉仪仿宋简" w:eastAsia="汉仪仿宋简"/>
      <w:sz w:val="24"/>
      <w:szCs w:val="24"/>
    </w:rPr>
  </w:style>
  <w:style w:type="character" w:customStyle="1" w:styleId="131">
    <w:name w:val="正文文本首行缩进 字符"/>
    <w:basedOn w:val="130"/>
    <w:link w:val="86"/>
    <w:qFormat/>
    <w:uiPriority w:val="0"/>
    <w:rPr>
      <w:rFonts w:ascii="汉仪仿宋简" w:hAnsi="汉仪仿宋简" w:eastAsia="汉仪仿宋简"/>
      <w:kern w:val="2"/>
      <w:sz w:val="24"/>
      <w:szCs w:val="24"/>
    </w:rPr>
  </w:style>
  <w:style w:type="character" w:customStyle="1" w:styleId="132">
    <w:name w:val="正文文本缩进 字符"/>
    <w:basedOn w:val="90"/>
    <w:link w:val="35"/>
    <w:qFormat/>
    <w:uiPriority w:val="0"/>
    <w:rPr>
      <w:rFonts w:ascii="汉仪仿宋简" w:hAnsi="汉仪仿宋简" w:eastAsia="汉仪仿宋简"/>
      <w:kern w:val="2"/>
      <w:sz w:val="24"/>
      <w:szCs w:val="24"/>
    </w:rPr>
  </w:style>
  <w:style w:type="character" w:customStyle="1" w:styleId="133">
    <w:name w:val="正文文本首行缩进 2 字符"/>
    <w:basedOn w:val="132"/>
    <w:link w:val="87"/>
    <w:qFormat/>
    <w:uiPriority w:val="0"/>
    <w:rPr>
      <w:rFonts w:ascii="汉仪仿宋简" w:hAnsi="汉仪仿宋简" w:eastAsia="汉仪仿宋简"/>
      <w:kern w:val="2"/>
      <w:sz w:val="24"/>
      <w:szCs w:val="24"/>
    </w:rPr>
  </w:style>
  <w:style w:type="character" w:customStyle="1" w:styleId="134">
    <w:name w:val="正文文本缩进 2 字符"/>
    <w:basedOn w:val="90"/>
    <w:link w:val="52"/>
    <w:qFormat/>
    <w:uiPriority w:val="0"/>
    <w:rPr>
      <w:rFonts w:ascii="汉仪仿宋简" w:hAnsi="汉仪仿宋简" w:eastAsia="汉仪仿宋简"/>
      <w:kern w:val="2"/>
      <w:sz w:val="24"/>
      <w:szCs w:val="24"/>
    </w:rPr>
  </w:style>
  <w:style w:type="character" w:customStyle="1" w:styleId="135">
    <w:name w:val="正文文本缩进 3 字符"/>
    <w:basedOn w:val="90"/>
    <w:link w:val="71"/>
    <w:qFormat/>
    <w:uiPriority w:val="0"/>
    <w:rPr>
      <w:rFonts w:ascii="汉仪仿宋简" w:hAnsi="汉仪仿宋简" w:eastAsia="汉仪仿宋简"/>
      <w:kern w:val="2"/>
      <w:sz w:val="16"/>
      <w:szCs w:val="16"/>
    </w:rPr>
  </w:style>
  <w:style w:type="character" w:customStyle="1" w:styleId="136">
    <w:name w:val="注释标题 字符"/>
    <w:basedOn w:val="90"/>
    <w:link w:val="16"/>
    <w:qFormat/>
    <w:uiPriority w:val="0"/>
    <w:rPr>
      <w:rFonts w:ascii="汉仪仿宋简" w:hAnsi="汉仪仿宋简" w:eastAsia="汉仪仿宋简"/>
      <w:kern w:val="2"/>
      <w:sz w:val="24"/>
      <w:szCs w:val="24"/>
    </w:rPr>
  </w:style>
  <w:style w:type="character" w:customStyle="1" w:styleId="137">
    <w:name w:val="页脚 字符"/>
    <w:link w:val="56"/>
    <w:qFormat/>
    <w:uiPriority w:val="0"/>
    <w:rPr>
      <w:sz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WPS">
  <a:themeElements>
    <a:clrScheme name="自定义 732">
      <a:dk1>
        <a:srgbClr val="000000"/>
      </a:dk1>
      <a:lt1>
        <a:srgbClr val="FFFFFF"/>
      </a:lt1>
      <a:dk2>
        <a:srgbClr val="44546A"/>
      </a:dk2>
      <a:lt2>
        <a:srgbClr val="E7E6E6"/>
      </a:lt2>
      <a:accent1>
        <a:srgbClr val="C10230"/>
      </a:accent1>
      <a:accent2>
        <a:srgbClr val="F19615"/>
      </a:accent2>
      <a:accent3>
        <a:srgbClr val="FFC700"/>
      </a:accent3>
      <a:accent4>
        <a:srgbClr val="2C88FF"/>
      </a:accent4>
      <a:accent5>
        <a:srgbClr val="98624F"/>
      </a:accent5>
      <a:accent6>
        <a:srgbClr val="788D4B"/>
      </a:accent6>
      <a:hlink>
        <a:srgbClr val="0026E5"/>
      </a:hlink>
      <a:folHlink>
        <a:srgbClr val="7E1FAD"/>
      </a:folHlink>
    </a:clrScheme>
    <a:fontScheme name="自定义 127">
      <a:majorFont>
        <a:latin typeface="汉仪中宋简"/>
        <a:ea typeface="汉仪中宋简"/>
        <a:cs typeface=""/>
      </a:majorFont>
      <a:minorFont>
        <a:latin typeface="汉仪仿宋简"/>
        <a:ea typeface="汉仪仿宋简"/>
        <a:cs typeface=""/>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4097"/>
  </customShpExts>
  <s:tags>
    <s:tag s:spid="_x0000_s1026">
      <s:item s:name="docerheaderfootertag" s:val="header"/>
      <s:item s:name="docerheaderfootertag" s:val="pagenumfooter"/>
      <s:item s:name="docerheaderfootertag" s:val="footer"/>
    </s:tag>
  </s:tag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2692</Words>
  <Characters>3191</Characters>
  <Lines>0</Lines>
  <Paragraphs>0</Paragraphs>
  <TotalTime>0</TotalTime>
  <ScaleCrop>false</ScaleCrop>
  <LinksUpToDate>false</LinksUpToDate>
  <CharactersWithSpaces>3228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2025-02-21T03:10:00Z</dcterms:created>
  <dc:creator>Answer</dc:creator>
  <cp:lastModifiedBy>蓝色思念</cp:lastModifiedBy>
  <dcterms:modified xsi:type="dcterms:W3CDTF">2026-05-21T03:22:35Z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0A08A8BCC3C74EC2B1193E2B2A3DBD5F_13</vt:lpwstr>
  </property>
  <property fmtid="{D5CDD505-2E9C-101B-9397-08002B2CF9AE}" pid="4" name="KSOTemplateDocerSaveRecord">
    <vt:lpwstr>eyJoZGlkIjoiNWVlNjFhN2ViMDkyMjU2YTRhYmFiNzNhM2VmOTdkODMiLCJ1c2VySWQiOiIyNzMwNDgzMDEifQ==</vt:lpwstr>
  </property>
</Properties>
</file>