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jc w:val="center"/>
        <w:rPr>
          <w:rFonts w:hint="eastAsia" w:ascii="等线" w:hAnsi="等线" w:eastAsia="等线" w:cs="等线"/>
          <w:b/>
          <w:bCs/>
          <w:color w:val="000000" w:themeColor="text1"/>
          <w:spacing w:val="7"/>
          <w:position w:val="4"/>
          <w:sz w:val="56"/>
          <w:szCs w:val="56"/>
          <w14:textFill>
            <w14:solidFill>
              <w14:schemeClr w14:val="tx1"/>
            </w14:solidFill>
          </w14:textFill>
        </w:rPr>
      </w:pPr>
      <w:bookmarkStart w:id="7" w:name="_GoBack"/>
      <w:bookmarkEnd w:id="7"/>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抗人叶酸受体抗体</w:t>
      </w:r>
    </w:p>
    <w:p w14:paraId="6959E1A5">
      <w:pPr>
        <w:spacing w:before="283" w:line="240" w:lineRule="auto"/>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445BFA9">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货号：nrbe028</w:t>
            </w:r>
          </w:p>
        </w:tc>
        <w:tc>
          <w:tcPr>
            <w:tcW w:w="4842" w:type="dxa"/>
            <w:tcBorders>
              <w:top w:val="nil"/>
              <w:left w:val="nil"/>
              <w:bottom w:val="nil"/>
              <w:right w:val="nil"/>
            </w:tcBorders>
          </w:tcPr>
          <w:p w14:paraId="6A343CD2">
            <w:pPr>
              <w:spacing w:before="283" w:line="210" w:lineRule="auto"/>
              <w:ind w:left="0" w:leftChars="0" w:firstLine="324" w:firstLineChars="1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检测范围:156pg/ml-10ng/ml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324" w:firstLineChars="1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324" w:firstLineChars="1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068BECB5">
      <w:pPr>
        <w:rPr>
          <w:rFonts w:ascii="Arial"/>
          <w:sz w:val="21"/>
        </w:rPr>
      </w:pPr>
      <w:r>
        <w:rPr>
          <w:rFonts w:ascii="Arial"/>
          <w:sz w:val="21"/>
        </w:rPr>
        <w:br w:type="page"/>
      </w:r>
    </w:p>
    <w:sdt>
      <w:sdtPr>
        <w:rPr>
          <w:rFonts w:ascii="宋体" w:hAnsi="宋体" w:eastAsia="宋体" w:cstheme="minorBidi"/>
          <w:kern w:val="2"/>
          <w:sz w:val="21"/>
          <w:szCs w:val="24"/>
          <w:lang w:val="en-US" w:eastAsia="zh-CN" w:bidi="ar-SA"/>
        </w:rPr>
        <w:id w:val="147456510"/>
        <w15:color w:val="DBDBDB"/>
        <w:docPartObj>
          <w:docPartGallery w:val="Table of Contents"/>
          <w:docPartUnique/>
        </w:docPartObj>
      </w:sdtPr>
      <w:sdtEndPr>
        <w:rPr>
          <w:rFonts w:ascii="Arial" w:hAnsi="汉仪仿宋简" w:eastAsia="宋体" w:cstheme="minorBidi"/>
          <w:kern w:val="2"/>
          <w:sz w:val="28"/>
          <w:szCs w:val="24"/>
          <w:lang w:val="en-US" w:eastAsia="zh-CN" w:bidi="ar-SA"/>
        </w:rPr>
      </w:sdtEndPr>
      <w:sdtContent>
        <w:p w14:paraId="373A40A4">
          <w:pPr>
            <w:spacing w:before="0" w:beforeLines="0" w:after="0" w:afterLines="0" w:line="240" w:lineRule="auto"/>
            <w:ind w:left="0" w:leftChars="0" w:right="0" w:rightChars="0" w:firstLine="0" w:firstLineChars="0"/>
            <w:jc w:val="center"/>
            <w:rPr>
              <w:rFonts w:ascii="宋体" w:hAnsi="宋体" w:eastAsia="宋体"/>
              <w:b/>
              <w:bCs/>
              <w:sz w:val="60"/>
              <w:szCs w:val="96"/>
            </w:rPr>
          </w:pPr>
          <w:r>
            <w:rPr>
              <w:rFonts w:ascii="宋体" w:hAnsi="宋体" w:eastAsia="宋体"/>
              <w:b/>
              <w:bCs/>
              <w:sz w:val="52"/>
              <w:szCs w:val="60"/>
            </w:rPr>
            <w:t>目录</w:t>
          </w:r>
        </w:p>
        <w:p w14:paraId="04DB8D97">
          <w:pPr>
            <w:pStyle w:val="75"/>
            <w:tabs>
              <w:tab w:val="right" w:leader="dot" w:pos="8306"/>
            </w:tabs>
          </w:pPr>
          <w:r>
            <w:rPr>
              <w:rFonts w:ascii="Arial"/>
              <w:sz w:val="21"/>
            </w:rPr>
            <w:fldChar w:fldCharType="begin"/>
          </w:r>
          <w:r>
            <w:rPr>
              <w:rFonts w:ascii="Arial"/>
              <w:sz w:val="21"/>
            </w:rPr>
            <w:instrText xml:space="preserve">TOC \o "1-3" \h \u </w:instrText>
          </w:r>
          <w:r>
            <w:rPr>
              <w:rFonts w:ascii="Arial"/>
              <w:sz w:val="21"/>
            </w:rPr>
            <w:fldChar w:fldCharType="separate"/>
          </w:r>
          <w:r>
            <w:rPr>
              <w:rFonts w:ascii="Arial"/>
            </w:rPr>
            <w:fldChar w:fldCharType="begin"/>
          </w:r>
          <w:r>
            <w:rPr>
              <w:rFonts w:ascii="Arial"/>
            </w:rPr>
            <w:instrText xml:space="preserve"> HYPERLINK \l _Toc5080 </w:instrText>
          </w:r>
          <w:r>
            <w:rPr>
              <w:rFonts w:ascii="Arial"/>
            </w:rPr>
            <w:fldChar w:fldCharType="separate"/>
          </w:r>
          <w:r>
            <w:rPr>
              <w:rFonts w:hint="eastAsia" w:ascii="汉仪仿宋简" w:hAnsi="汉仪仿宋简" w:eastAsia="汉仪仿宋简"/>
              <w:lang w:val="en-US" w:eastAsia="zh-CN"/>
            </w:rPr>
            <w:t xml:space="preserve">(一) </w:t>
          </w:r>
          <w:r>
            <w:rPr>
              <w:rFonts w:hint="eastAsia"/>
              <w:lang w:val="en-US" w:eastAsia="zh-CN"/>
            </w:rPr>
            <w:t>注意事项：</w:t>
          </w:r>
          <w:r>
            <w:tab/>
          </w:r>
          <w:r>
            <w:fldChar w:fldCharType="begin"/>
          </w:r>
          <w:r>
            <w:instrText xml:space="preserve"> PAGEREF _Toc5080 \h </w:instrText>
          </w:r>
          <w:r>
            <w:fldChar w:fldCharType="separate"/>
          </w:r>
          <w:r>
            <w:t>3</w:t>
          </w:r>
          <w:r>
            <w:fldChar w:fldCharType="end"/>
          </w:r>
          <w:r>
            <w:rPr>
              <w:rFonts w:ascii="Arial"/>
            </w:rPr>
            <w:fldChar w:fldCharType="end"/>
          </w:r>
        </w:p>
        <w:p w14:paraId="66855CCB">
          <w:pPr>
            <w:pStyle w:val="75"/>
            <w:tabs>
              <w:tab w:val="right" w:leader="dot" w:pos="8306"/>
            </w:tabs>
          </w:pPr>
          <w:r>
            <w:rPr>
              <w:rFonts w:ascii="Arial"/>
            </w:rPr>
            <w:fldChar w:fldCharType="begin"/>
          </w:r>
          <w:r>
            <w:rPr>
              <w:rFonts w:ascii="Arial"/>
            </w:rPr>
            <w:instrText xml:space="preserve"> HYPERLINK \l _Toc18687 </w:instrText>
          </w:r>
          <w:r>
            <w:rPr>
              <w:rFonts w:ascii="Arial"/>
            </w:rPr>
            <w:fldChar w:fldCharType="separate"/>
          </w:r>
          <w:r>
            <w:rPr>
              <w:rFonts w:hint="eastAsia" w:ascii="汉仪仿宋简" w:hAnsi="汉仪仿宋简" w:eastAsia="汉仪仿宋简"/>
              <w:vertAlign w:val="baseline"/>
              <w:lang w:val="en-US" w:eastAsia="zh-CN"/>
            </w:rPr>
            <w:t xml:space="preserve">(二) </w:t>
          </w:r>
          <w:r>
            <w:rPr>
              <w:rFonts w:hint="eastAsia"/>
              <w:lang w:val="en-US" w:eastAsia="zh-CN"/>
            </w:rPr>
            <w:t>试剂盒组成：</w:t>
          </w:r>
          <w:r>
            <w:tab/>
          </w:r>
          <w:r>
            <w:fldChar w:fldCharType="begin"/>
          </w:r>
          <w:r>
            <w:instrText xml:space="preserve"> PAGEREF _Toc18687 \h </w:instrText>
          </w:r>
          <w:r>
            <w:fldChar w:fldCharType="separate"/>
          </w:r>
          <w:r>
            <w:t>3</w:t>
          </w:r>
          <w:r>
            <w:fldChar w:fldCharType="end"/>
          </w:r>
          <w:r>
            <w:rPr>
              <w:rFonts w:ascii="Arial"/>
            </w:rPr>
            <w:fldChar w:fldCharType="end"/>
          </w:r>
        </w:p>
        <w:p w14:paraId="63330AA2">
          <w:pPr>
            <w:pStyle w:val="75"/>
            <w:tabs>
              <w:tab w:val="right" w:leader="dot" w:pos="8306"/>
            </w:tabs>
          </w:pPr>
          <w:r>
            <w:rPr>
              <w:rFonts w:ascii="Arial"/>
            </w:rPr>
            <w:fldChar w:fldCharType="begin"/>
          </w:r>
          <w:r>
            <w:rPr>
              <w:rFonts w:ascii="Arial"/>
            </w:rPr>
            <w:instrText xml:space="preserve"> HYPERLINK \l _Toc3985 </w:instrText>
          </w:r>
          <w:r>
            <w:rPr>
              <w:rFonts w:ascii="Arial"/>
            </w:rPr>
            <w:fldChar w:fldCharType="separate"/>
          </w:r>
          <w:r>
            <w:rPr>
              <w:rFonts w:hint="eastAsia" w:ascii="汉仪仿宋简" w:hAnsi="汉仪仿宋简" w:eastAsia="汉仪仿宋简"/>
              <w:lang w:val="en-US" w:eastAsia="zh-CN"/>
            </w:rPr>
            <w:t xml:space="preserve">(三) </w:t>
          </w:r>
          <w:r>
            <w:rPr>
              <w:rFonts w:hint="eastAsia"/>
              <w:lang w:val="en-US" w:eastAsia="zh-CN"/>
            </w:rPr>
            <w:t>样本处理及要求：</w:t>
          </w:r>
          <w:r>
            <w:tab/>
          </w:r>
          <w:r>
            <w:fldChar w:fldCharType="begin"/>
          </w:r>
          <w:r>
            <w:instrText xml:space="preserve"> PAGEREF _Toc3985 \h </w:instrText>
          </w:r>
          <w:r>
            <w:fldChar w:fldCharType="separate"/>
          </w:r>
          <w:r>
            <w:t>4</w:t>
          </w:r>
          <w:r>
            <w:fldChar w:fldCharType="end"/>
          </w:r>
          <w:r>
            <w:rPr>
              <w:rFonts w:ascii="Arial"/>
            </w:rPr>
            <w:fldChar w:fldCharType="end"/>
          </w:r>
        </w:p>
        <w:p w14:paraId="1ACC5440">
          <w:pPr>
            <w:pStyle w:val="75"/>
            <w:tabs>
              <w:tab w:val="right" w:leader="dot" w:pos="8306"/>
            </w:tabs>
          </w:pPr>
          <w:r>
            <w:rPr>
              <w:rFonts w:ascii="Arial"/>
            </w:rPr>
            <w:fldChar w:fldCharType="begin"/>
          </w:r>
          <w:r>
            <w:rPr>
              <w:rFonts w:ascii="Arial"/>
            </w:rPr>
            <w:instrText xml:space="preserve"> HYPERLINK \l _Toc3962 </w:instrText>
          </w:r>
          <w:r>
            <w:rPr>
              <w:rFonts w:ascii="Arial"/>
            </w:rPr>
            <w:fldChar w:fldCharType="separate"/>
          </w:r>
          <w:r>
            <w:rPr>
              <w:rFonts w:hint="eastAsia" w:ascii="汉仪仿宋简" w:hAnsi="汉仪仿宋简" w:eastAsia="汉仪仿宋简"/>
              <w:lang w:val="en-US" w:eastAsia="zh-CN"/>
            </w:rPr>
            <w:t xml:space="preserve">(四) </w:t>
          </w:r>
          <w:r>
            <w:rPr>
              <w:rFonts w:hint="eastAsia"/>
              <w:lang w:val="en-US" w:eastAsia="zh-CN"/>
            </w:rPr>
            <w:t>实验所需自备实验器材：</w:t>
          </w:r>
          <w:r>
            <w:tab/>
          </w:r>
          <w:r>
            <w:fldChar w:fldCharType="begin"/>
          </w:r>
          <w:r>
            <w:instrText xml:space="preserve"> PAGEREF _Toc3962 \h </w:instrText>
          </w:r>
          <w:r>
            <w:fldChar w:fldCharType="separate"/>
          </w:r>
          <w:r>
            <w:t>5</w:t>
          </w:r>
          <w:r>
            <w:fldChar w:fldCharType="end"/>
          </w:r>
          <w:r>
            <w:rPr>
              <w:rFonts w:ascii="Arial"/>
            </w:rPr>
            <w:fldChar w:fldCharType="end"/>
          </w:r>
        </w:p>
        <w:p w14:paraId="5470438E">
          <w:pPr>
            <w:pStyle w:val="75"/>
            <w:tabs>
              <w:tab w:val="right" w:leader="dot" w:pos="8306"/>
            </w:tabs>
          </w:pPr>
          <w:r>
            <w:rPr>
              <w:rFonts w:ascii="Arial"/>
            </w:rPr>
            <w:fldChar w:fldCharType="begin"/>
          </w:r>
          <w:r>
            <w:rPr>
              <w:rFonts w:ascii="Arial"/>
            </w:rPr>
            <w:instrText xml:space="preserve"> HYPERLINK \l _Toc17362 </w:instrText>
          </w:r>
          <w:r>
            <w:rPr>
              <w:rFonts w:ascii="Arial"/>
            </w:rPr>
            <w:fldChar w:fldCharType="separate"/>
          </w:r>
          <w:r>
            <w:rPr>
              <w:rFonts w:hint="eastAsia" w:ascii="汉仪仿宋简" w:hAnsi="汉仪仿宋简" w:eastAsia="汉仪仿宋简"/>
              <w:lang w:val="en-US" w:eastAsia="zh-CN"/>
            </w:rPr>
            <w:t xml:space="preserve">(五) </w:t>
          </w:r>
          <w:r>
            <w:rPr>
              <w:rFonts w:hint="eastAsia"/>
              <w:lang w:val="en-US" w:eastAsia="zh-CN"/>
            </w:rPr>
            <w:t>检测前准备工作：</w:t>
          </w:r>
          <w:r>
            <w:tab/>
          </w:r>
          <w:r>
            <w:fldChar w:fldCharType="begin"/>
          </w:r>
          <w:r>
            <w:instrText xml:space="preserve"> PAGEREF _Toc17362 \h </w:instrText>
          </w:r>
          <w:r>
            <w:fldChar w:fldCharType="separate"/>
          </w:r>
          <w:r>
            <w:t>5</w:t>
          </w:r>
          <w:r>
            <w:fldChar w:fldCharType="end"/>
          </w:r>
          <w:r>
            <w:rPr>
              <w:rFonts w:ascii="Arial"/>
            </w:rPr>
            <w:fldChar w:fldCharType="end"/>
          </w:r>
        </w:p>
        <w:p w14:paraId="7AEFC231">
          <w:pPr>
            <w:pStyle w:val="75"/>
            <w:tabs>
              <w:tab w:val="right" w:leader="dot" w:pos="8306"/>
            </w:tabs>
          </w:pPr>
          <w:r>
            <w:rPr>
              <w:rFonts w:ascii="Arial"/>
            </w:rPr>
            <w:fldChar w:fldCharType="begin"/>
          </w:r>
          <w:r>
            <w:rPr>
              <w:rFonts w:ascii="Arial"/>
            </w:rPr>
            <w:instrText xml:space="preserve"> HYPERLINK \l _Toc15808 </w:instrText>
          </w:r>
          <w:r>
            <w:rPr>
              <w:rFonts w:ascii="Arial"/>
            </w:rPr>
            <w:fldChar w:fldCharType="separate"/>
          </w:r>
          <w:r>
            <w:rPr>
              <w:rFonts w:hint="eastAsia" w:ascii="汉仪仿宋简" w:hAnsi="汉仪仿宋简" w:eastAsia="汉仪仿宋简"/>
              <w:lang w:val="en-US" w:eastAsia="zh-CN"/>
            </w:rPr>
            <w:t xml:space="preserve">(六) </w:t>
          </w:r>
          <w:r>
            <w:rPr>
              <w:rFonts w:hint="eastAsia"/>
              <w:lang w:val="en-US" w:eastAsia="zh-CN"/>
            </w:rPr>
            <w:t>操作步骤：</w:t>
          </w:r>
          <w:r>
            <w:tab/>
          </w:r>
          <w:r>
            <w:fldChar w:fldCharType="begin"/>
          </w:r>
          <w:r>
            <w:instrText xml:space="preserve"> PAGEREF _Toc15808 \h </w:instrText>
          </w:r>
          <w:r>
            <w:fldChar w:fldCharType="separate"/>
          </w:r>
          <w:r>
            <w:t>6</w:t>
          </w:r>
          <w:r>
            <w:fldChar w:fldCharType="end"/>
          </w:r>
          <w:r>
            <w:rPr>
              <w:rFonts w:ascii="Arial"/>
            </w:rPr>
            <w:fldChar w:fldCharType="end"/>
          </w:r>
        </w:p>
        <w:p w14:paraId="39B6904D">
          <w:pPr>
            <w:pStyle w:val="75"/>
            <w:tabs>
              <w:tab w:val="right" w:leader="dot" w:pos="8306"/>
            </w:tabs>
          </w:pPr>
          <w:r>
            <w:rPr>
              <w:rFonts w:ascii="Arial"/>
            </w:rPr>
            <w:fldChar w:fldCharType="begin"/>
          </w:r>
          <w:r>
            <w:rPr>
              <w:rFonts w:ascii="Arial"/>
            </w:rPr>
            <w:instrText xml:space="preserve"> HYPERLINK \l _Toc12673 </w:instrText>
          </w:r>
          <w:r>
            <w:rPr>
              <w:rFonts w:ascii="Arial"/>
            </w:rPr>
            <w:fldChar w:fldCharType="separate"/>
          </w:r>
          <w:r>
            <w:rPr>
              <w:rFonts w:hint="eastAsia" w:ascii="汉仪仿宋简" w:hAnsi="汉仪仿宋简" w:eastAsia="汉仪仿宋简"/>
              <w:lang w:val="en-US" w:eastAsia="zh-CN"/>
            </w:rPr>
            <w:t xml:space="preserve">(七) </w:t>
          </w:r>
          <w:r>
            <w:rPr>
              <w:rFonts w:hint="eastAsia"/>
              <w:lang w:val="en-US" w:eastAsia="zh-CN"/>
            </w:rPr>
            <w:t>实验结果计算：</w:t>
          </w:r>
          <w:r>
            <w:tab/>
          </w:r>
          <w:r>
            <w:fldChar w:fldCharType="begin"/>
          </w:r>
          <w:r>
            <w:instrText xml:space="preserve"> PAGEREF _Toc12673 \h </w:instrText>
          </w:r>
          <w:r>
            <w:fldChar w:fldCharType="separate"/>
          </w:r>
          <w:r>
            <w:t>7</w:t>
          </w:r>
          <w:r>
            <w:fldChar w:fldCharType="end"/>
          </w:r>
          <w:r>
            <w:rPr>
              <w:rFonts w:ascii="Arial"/>
            </w:rPr>
            <w:fldChar w:fldCharType="end"/>
          </w:r>
        </w:p>
        <w:p w14:paraId="5588576D">
          <w:pPr>
            <w:ind w:left="0" w:leftChars="0" w:firstLine="0" w:firstLineChars="0"/>
            <w:rPr>
              <w:rFonts w:ascii="Arial" w:hAnsi="汉仪仿宋简" w:eastAsia="宋体" w:cstheme="minorBidi"/>
              <w:kern w:val="2"/>
              <w:sz w:val="28"/>
              <w:szCs w:val="24"/>
              <w:lang w:val="en-US" w:eastAsia="zh-CN" w:bidi="ar-SA"/>
            </w:rPr>
          </w:pPr>
          <w:r>
            <w:rPr>
              <w:rFonts w:ascii="Arial"/>
            </w:rPr>
            <w:fldChar w:fldCharType="end"/>
          </w:r>
        </w:p>
      </w:sdtContent>
    </w:sdt>
    <w:p w14:paraId="4B827CC4">
      <w:pPr>
        <w:rPr>
          <w:rFonts w:ascii="Arial" w:hAnsi="汉仪仿宋简" w:eastAsia="宋体" w:cstheme="minorBidi"/>
          <w:kern w:val="2"/>
          <w:sz w:val="28"/>
          <w:szCs w:val="24"/>
          <w:lang w:val="en-US" w:eastAsia="zh-CN" w:bidi="ar-SA"/>
        </w:rPr>
      </w:pPr>
      <w:r>
        <w:rPr>
          <w:rFonts w:ascii="Arial" w:hAnsi="汉仪仿宋简" w:eastAsia="宋体" w:cstheme="minorBidi"/>
          <w:kern w:val="2"/>
          <w:sz w:val="28"/>
          <w:szCs w:val="24"/>
          <w:lang w:val="en-US" w:eastAsia="zh-CN" w:bidi="ar-SA"/>
        </w:rPr>
        <w:br w:type="page"/>
      </w:r>
    </w:p>
    <w:p w14:paraId="35FFC8F7">
      <w:pPr>
        <w:pStyle w:val="4"/>
        <w:bidi w:val="0"/>
        <w:ind w:left="0" w:leftChars="0" w:firstLine="0" w:firstLineChars="0"/>
        <w:rPr>
          <w:rFonts w:hint="eastAsia"/>
          <w:lang w:val="en-US" w:eastAsia="zh-CN"/>
        </w:rPr>
      </w:pPr>
      <w:bookmarkStart w:id="0" w:name="_Toc5080"/>
      <w:r>
        <w:rPr>
          <w:rFonts w:hint="eastAsia"/>
          <w:lang w:val="en-US" w:eastAsia="zh-CN"/>
        </w:rPr>
        <w:t>注意事项：</w:t>
      </w:r>
      <w:bookmarkEnd w:id="0"/>
    </w:p>
    <w:p w14:paraId="62DE7B91">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严格按照规定的时间和温度进行孵育。所有试剂都必须在使用前达到室温20-25℃。使用后放回4℃保存。</w:t>
      </w:r>
    </w:p>
    <w:p w14:paraId="4EF22AAD">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在加入底物前确保尽量吸干孔内液体。整个过程中不要让酶标板干燥时间过长。</w:t>
      </w:r>
    </w:p>
    <w:p w14:paraId="43AB5F1D">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酶标仪读数时清洁掉板底残留的液体和手指印，否则会影响读数。</w:t>
      </w:r>
    </w:p>
    <w:p w14:paraId="30B9A051">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在储存和温育时避免强光直接照射。</w:t>
      </w:r>
    </w:p>
    <w:p w14:paraId="15D14A66">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底物显色液应呈无色的颜色，已经变蓝的底物液不能使用。</w:t>
      </w:r>
    </w:p>
    <w:p w14:paraId="74984D42">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避免试剂和样本的交叉污染。</w:t>
      </w:r>
    </w:p>
    <w:p w14:paraId="52119B36">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不能接触漂白溶剂或漂白溶剂所散发的强烈气体。任何漂白成分都会破坏试剂盒中试剂的生物活性。</w:t>
      </w:r>
    </w:p>
    <w:p w14:paraId="527FB34B">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不能使用过期产品，不同货号和批号组分不得混用。</w:t>
      </w:r>
    </w:p>
    <w:p w14:paraId="1AAB597B">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不建议使用试剂盒以外的标准品。</w:t>
      </w:r>
    </w:p>
    <w:p w14:paraId="2EC5A312">
      <w:pPr>
        <w:numPr>
          <w:ilvl w:val="0"/>
          <w:numId w:val="12"/>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如果可能传播疾病，所有的样品都应管理好，按照规定的程序处理样品和检测装置。</w:t>
      </w:r>
    </w:p>
    <w:p w14:paraId="255DA2F0">
      <w:pPr>
        <w:numPr>
          <w:ilvl w:val="0"/>
          <w:numId w:val="0"/>
        </w:numPr>
        <w:ind w:leftChars="0"/>
        <w:rPr>
          <w:rFonts w:hint="eastAsia"/>
          <w:lang w:val="en-US" w:eastAsia="zh-CN"/>
        </w:rPr>
      </w:pPr>
    </w:p>
    <w:p w14:paraId="7481EE41">
      <w:pPr>
        <w:pStyle w:val="4"/>
        <w:bidi w:val="0"/>
        <w:ind w:left="0" w:leftChars="0" w:firstLine="0" w:firstLineChars="0"/>
        <w:rPr>
          <w:rFonts w:hint="default"/>
          <w:vertAlign w:val="baseline"/>
          <w:lang w:val="en-US" w:eastAsia="zh-CN"/>
        </w:rPr>
      </w:pPr>
      <w:bookmarkStart w:id="1" w:name="_Toc18687"/>
      <w:r>
        <w:rPr>
          <w:rFonts w:hint="eastAsia"/>
          <w:lang w:val="en-US" w:eastAsia="zh-CN"/>
        </w:rPr>
        <w:t>试剂盒组成：</w:t>
      </w:r>
      <w:bookmarkEnd w:id="1"/>
    </w:p>
    <w:tbl>
      <w:tblPr>
        <w:tblStyle w:val="8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72"/>
        <w:gridCol w:w="1178"/>
        <w:gridCol w:w="1178"/>
        <w:gridCol w:w="1801"/>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名称</w:t>
            </w:r>
          </w:p>
        </w:tc>
        <w:tc>
          <w:tcPr>
            <w:tcW w:w="0" w:type="auto"/>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96孔配置</w:t>
            </w:r>
          </w:p>
        </w:tc>
        <w:tc>
          <w:tcPr>
            <w:tcW w:w="0" w:type="auto"/>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48孔配置</w:t>
            </w:r>
          </w:p>
        </w:tc>
        <w:tc>
          <w:tcPr>
            <w:tcW w:w="0" w:type="auto"/>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FFFFFF"/>
                <w:sz w:val="24"/>
                <w:szCs w:val="24"/>
                <w:u w:val="none"/>
              </w:rPr>
            </w:pPr>
            <w:r>
              <w:rPr>
                <w:rFonts w:hint="eastAsia" w:ascii="宋体" w:hAnsi="宋体" w:eastAsia="宋体" w:cs="宋体"/>
                <w:b/>
                <w:bCs/>
                <w:i w:val="0"/>
                <w:iCs w:val="0"/>
                <w:color w:val="FFFFFF"/>
                <w:kern w:val="0"/>
                <w:sz w:val="24"/>
                <w:szCs w:val="24"/>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酶标板</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8孔×12</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8孔×6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2-8℃</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通用稀释液</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30ml</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15ml</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浓缩酶标记检测抗体（1000×）</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widowControl/>
              <w:suppressLineNumbers w:val="0"/>
              <w:ind w:left="0" w:leftChars="0" w:firstLine="0" w:firstLineChars="0"/>
              <w:jc w:val="left"/>
              <w:textAlignment w:val="center"/>
              <w:rPr>
                <w:rFonts w:hint="default" w:ascii="宋体" w:hAnsi="宋体" w:eastAsia="宋体" w:cs="宋体"/>
                <w:b w:val="0"/>
                <w:i w:val="0"/>
                <w:iCs w:val="0"/>
                <w:color w:val="000000"/>
                <w:sz w:val="24"/>
                <w:szCs w:val="24"/>
                <w:u w:val="none"/>
                <w:lang w:val="en-US"/>
              </w:rPr>
            </w:pPr>
            <w:r>
              <w:rPr>
                <w:rFonts w:hint="eastAsia" w:ascii="宋体" w:hAnsi="宋体" w:eastAsia="宋体" w:cs="宋体"/>
                <w:b w:val="0"/>
                <w:i w:val="0"/>
                <w:iCs w:val="0"/>
                <w:color w:val="000000"/>
                <w:kern w:val="0"/>
                <w:sz w:val="24"/>
                <w:szCs w:val="24"/>
                <w:u w:val="none"/>
                <w:lang w:val="en-US" w:eastAsia="zh-CN" w:bidi="ar"/>
              </w:rPr>
              <w:t>20μl</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10μl</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2-8℃</w:t>
            </w:r>
          </w:p>
        </w:tc>
      </w:tr>
      <w:tr w14:paraId="4DF18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0CE7174">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浓缩酶标记检测抗体（1000×，标准品）</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1949C141">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kern w:val="2"/>
                <w:sz w:val="24"/>
                <w:szCs w:val="24"/>
                <w:u w:val="none"/>
                <w:lang w:val="en-US" w:eastAsia="zh-CN" w:bidi="ar-SA"/>
              </w:rPr>
            </w:pPr>
            <w:r>
              <w:rPr>
                <w:rFonts w:hint="eastAsia" w:ascii="宋体" w:hAnsi="宋体" w:eastAsia="宋体" w:cs="宋体"/>
                <w:b w:val="0"/>
                <w:i w:val="0"/>
                <w:iCs w:val="0"/>
                <w:color w:val="000000"/>
                <w:kern w:val="0"/>
                <w:sz w:val="24"/>
                <w:szCs w:val="24"/>
                <w:u w:val="none"/>
                <w:lang w:val="en-US" w:eastAsia="zh-CN" w:bidi="ar"/>
              </w:rPr>
              <w:t>20μl</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D52AD0E">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kern w:val="2"/>
                <w:sz w:val="24"/>
                <w:szCs w:val="24"/>
                <w:u w:val="none"/>
                <w:lang w:val="en-US" w:eastAsia="zh-CN" w:bidi="ar-SA"/>
              </w:rPr>
            </w:pPr>
            <w:r>
              <w:rPr>
                <w:rFonts w:hint="eastAsia" w:ascii="宋体" w:hAnsi="宋体" w:eastAsia="宋体" w:cs="宋体"/>
                <w:b w:val="0"/>
                <w:i w:val="0"/>
                <w:iCs w:val="0"/>
                <w:color w:val="000000"/>
                <w:kern w:val="0"/>
                <w:sz w:val="24"/>
                <w:szCs w:val="24"/>
                <w:u w:val="none"/>
                <w:lang w:val="en-US" w:eastAsia="zh-CN" w:bidi="ar"/>
              </w:rPr>
              <w:t>10μl</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30763136">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kern w:val="2"/>
                <w:sz w:val="24"/>
                <w:szCs w:val="24"/>
                <w:u w:val="none"/>
                <w:lang w:val="en-US" w:eastAsia="zh-CN" w:bidi="ar-SA"/>
              </w:rPr>
            </w:pPr>
            <w:r>
              <w:rPr>
                <w:rFonts w:hint="eastAsia" w:ascii="宋体" w:hAnsi="宋体" w:eastAsia="宋体" w:cs="宋体"/>
                <w:b w:val="0"/>
                <w:i w:val="0"/>
                <w:iCs w:val="0"/>
                <w:color w:val="000000"/>
                <w:kern w:val="0"/>
                <w:sz w:val="24"/>
                <w:szCs w:val="24"/>
                <w:u w:val="none"/>
                <w:lang w:val="en-US" w:eastAsia="zh-CN" w:bidi="ar"/>
              </w:rPr>
              <w:t>2-8℃</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洗涤液（20×）</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15ml</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7.5ml</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底物（TMB）</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12ml</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6ml</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2-8℃</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终止液</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6ml</w:t>
            </w:r>
          </w:p>
        </w:tc>
        <w:tc>
          <w:tcPr>
            <w:tcW w:w="0" w:type="auto"/>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3ml</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widowControl/>
              <w:suppressLineNumbers w:val="0"/>
              <w:ind w:left="0" w:leftChars="0" w:firstLine="0" w:firstLineChars="0"/>
              <w:jc w:val="left"/>
              <w:textAlignment w:val="center"/>
              <w:rPr>
                <w:rFonts w:hint="eastAsia" w:ascii="宋体" w:hAnsi="宋体" w:eastAsia="宋体" w:cs="宋体"/>
                <w:b w:val="0"/>
                <w:i w:val="0"/>
                <w:iCs w:val="0"/>
                <w:color w:val="000000"/>
                <w:sz w:val="24"/>
                <w:szCs w:val="24"/>
                <w:u w:val="none"/>
              </w:rPr>
            </w:pPr>
            <w:r>
              <w:rPr>
                <w:rFonts w:hint="eastAsia" w:ascii="宋体" w:hAnsi="宋体" w:eastAsia="宋体" w:cs="宋体"/>
                <w:b w:val="0"/>
                <w:i w:val="0"/>
                <w:iCs w:val="0"/>
                <w:color w:val="000000"/>
                <w:kern w:val="0"/>
                <w:sz w:val="24"/>
                <w:szCs w:val="24"/>
                <w:u w:val="none"/>
                <w:lang w:val="en-US" w:eastAsia="zh-CN" w:bidi="ar"/>
              </w:rPr>
              <w:t>2-8℃</w:t>
            </w:r>
          </w:p>
        </w:tc>
      </w:tr>
    </w:tbl>
    <w:p w14:paraId="0AF6DA96">
      <w:pPr>
        <w:pStyle w:val="4"/>
        <w:bidi w:val="0"/>
        <w:ind w:left="0" w:leftChars="0" w:firstLine="0" w:firstLineChars="0"/>
        <w:rPr>
          <w:rFonts w:hint="eastAsia"/>
          <w:lang w:val="en-US" w:eastAsia="zh-CN"/>
        </w:rPr>
      </w:pPr>
      <w:bookmarkStart w:id="2" w:name="_Toc3985"/>
      <w:r>
        <w:rPr>
          <w:rFonts w:hint="eastAsia"/>
          <w:lang w:val="en-US" w:eastAsia="zh-CN"/>
        </w:rPr>
        <w:t>样本处理及要求：</w:t>
      </w:r>
      <w:bookmarkEnd w:id="2"/>
    </w:p>
    <w:p w14:paraId="295CC34F">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1．</w:t>
      </w:r>
      <w:r>
        <w:rPr>
          <w:rFonts w:hint="eastAsia" w:ascii="宋体" w:hAnsi="宋体" w:eastAsia="宋体" w:cs="宋体"/>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2．</w:t>
      </w:r>
      <w:r>
        <w:rPr>
          <w:rFonts w:hint="eastAsia" w:ascii="宋体" w:hAnsi="宋体" w:eastAsia="宋体" w:cs="宋体"/>
          <w:lang w:val="en-US" w:eastAsia="zh-CN"/>
        </w:rPr>
        <w:t>若所检样本不在说明说所列样本类型之中，建议做预实验验证其检测有效性。</w:t>
      </w:r>
    </w:p>
    <w:p w14:paraId="603CD975">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3．</w:t>
      </w:r>
      <w:r>
        <w:rPr>
          <w:rFonts w:hint="eastAsia" w:ascii="宋体" w:hAnsi="宋体" w:eastAsia="宋体" w:cs="宋体"/>
          <w:b w:val="0"/>
          <w:bCs w:val="0"/>
          <w:lang w:val="en-US" w:eastAsia="zh-CN"/>
        </w:rPr>
        <w:t>血清：</w:t>
      </w:r>
      <w:r>
        <w:rPr>
          <w:rFonts w:hint="eastAsia" w:ascii="宋体" w:hAnsi="宋体" w:eastAsia="宋体" w:cs="宋体"/>
          <w:lang w:val="en-US" w:eastAsia="zh-CN"/>
        </w:rPr>
        <w:t>将收集于血清分离管的全血样本在室温放置2小时或2-8℃过夜，然后1000×g离心20分钟，取上清即可，或将上清置于-20℃或-80℃保存，但应避免反复冻融。</w:t>
      </w:r>
    </w:p>
    <w:p w14:paraId="2C0D0D60">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4．</w:t>
      </w:r>
      <w:r>
        <w:rPr>
          <w:rFonts w:hint="eastAsia" w:ascii="宋体" w:hAnsi="宋体" w:eastAsia="宋体" w:cs="宋体"/>
          <w:lang w:val="en-US" w:eastAsia="zh-CN"/>
        </w:rPr>
        <w:t>血浆：用EDTA或肝素作为抗凝剂采集样本，并将样本在采集后的30分钟内于2-8℃1000×g离心15分钟，取上清检测，或将上清置于-20℃或-80℃保存，但应避免反复冻融。</w:t>
      </w:r>
    </w:p>
    <w:p w14:paraId="02919734">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5．</w:t>
      </w:r>
      <w:r>
        <w:rPr>
          <w:rFonts w:hint="eastAsia" w:ascii="宋体" w:hAnsi="宋体" w:eastAsia="宋体" w:cs="宋体"/>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6．</w:t>
      </w:r>
      <w:r>
        <w:rPr>
          <w:rFonts w:hint="eastAsia" w:ascii="宋体" w:hAnsi="宋体" w:eastAsia="宋体" w:cs="宋体"/>
          <w:lang w:val="en-US" w:eastAsia="zh-CN"/>
        </w:rPr>
        <w:t>细胞培养物上清：请1000×g离心20分钟，取上清即可检测，或将上清置于-20℃或-80℃保存，但应避免反复冻融。</w:t>
      </w:r>
    </w:p>
    <w:p w14:paraId="129532DF">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7．</w:t>
      </w:r>
      <w:r>
        <w:rPr>
          <w:rFonts w:hint="eastAsia" w:ascii="宋体" w:hAnsi="宋体" w:eastAsia="宋体" w:cs="宋体"/>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8．</w:t>
      </w:r>
      <w:r>
        <w:rPr>
          <w:rFonts w:hint="eastAsia" w:ascii="宋体" w:hAnsi="宋体" w:eastAsia="宋体" w:cs="宋体"/>
          <w:lang w:val="en-US" w:eastAsia="zh-CN"/>
        </w:rPr>
        <w:t>其他生物样本：1000×g离心20分钟，取上清检测。</w:t>
      </w:r>
    </w:p>
    <w:p w14:paraId="2EA83BE0">
      <w:pPr>
        <w:numPr>
          <w:ilvl w:val="0"/>
          <w:numId w:val="0"/>
        </w:numPr>
        <w:ind w:left="0" w:leftChars="0" w:firstLine="400" w:firstLineChars="0"/>
        <w:rPr>
          <w:rFonts w:hint="eastAsia" w:ascii="宋体" w:hAnsi="宋体" w:eastAsia="宋体" w:cs="宋体"/>
          <w:lang w:val="en-US" w:eastAsia="zh-CN"/>
        </w:rPr>
      </w:pPr>
      <w:r>
        <w:rPr>
          <w:rFonts w:hint="default" w:ascii="宋体" w:hAnsi="宋体" w:eastAsia="宋体" w:cs="宋体"/>
          <w:kern w:val="2"/>
          <w:sz w:val="28"/>
          <w:szCs w:val="24"/>
          <w:lang w:val="en-US" w:eastAsia="zh-CN" w:bidi="ar-SA"/>
        </w:rPr>
        <w:t>9．</w:t>
      </w:r>
      <w:r>
        <w:rPr>
          <w:rFonts w:hint="eastAsia" w:ascii="宋体" w:hAnsi="宋体" w:eastAsia="宋体" w:cs="宋体"/>
          <w:lang w:val="en-US" w:eastAsia="zh-CN"/>
        </w:rPr>
        <w:t>样品外观：样品应清澈透明，悬浮物应离心除去。</w:t>
      </w:r>
    </w:p>
    <w:p w14:paraId="3182AFC0">
      <w:pPr>
        <w:numPr>
          <w:ilvl w:val="0"/>
          <w:numId w:val="0"/>
        </w:numPr>
        <w:ind w:left="0" w:leftChars="0" w:firstLine="400" w:firstLineChars="0"/>
        <w:rPr>
          <w:rFonts w:hint="default"/>
          <w:lang w:val="en-US" w:eastAsia="zh-CN"/>
        </w:rPr>
      </w:pPr>
      <w:r>
        <w:rPr>
          <w:rFonts w:hint="default" w:ascii="宋体" w:hAnsi="宋体" w:eastAsia="宋体" w:cs="宋体"/>
          <w:kern w:val="2"/>
          <w:sz w:val="28"/>
          <w:szCs w:val="24"/>
          <w:lang w:val="en-US" w:eastAsia="zh-CN" w:bidi="ar-SA"/>
        </w:rPr>
        <w:t>10．</w:t>
      </w:r>
      <w:r>
        <w:rPr>
          <w:rFonts w:hint="eastAsia" w:ascii="宋体" w:hAnsi="宋体" w:eastAsia="宋体" w:cs="宋体"/>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bidi w:val="0"/>
        <w:ind w:left="0" w:leftChars="0" w:firstLine="0" w:firstLineChars="0"/>
        <w:rPr>
          <w:rFonts w:hint="eastAsia"/>
          <w:lang w:val="en-US" w:eastAsia="zh-CN"/>
        </w:rPr>
      </w:pPr>
      <w:bookmarkStart w:id="3" w:name="_Toc3962"/>
      <w:r>
        <w:rPr>
          <w:rFonts w:hint="eastAsia"/>
          <w:lang w:val="en-US" w:eastAsia="zh-CN"/>
        </w:rPr>
        <w:t>实验所需自备实验器材：</w:t>
      </w:r>
      <w:bookmarkEnd w:id="3"/>
    </w:p>
    <w:p w14:paraId="787023FA">
      <w:pPr>
        <w:numPr>
          <w:ilvl w:val="0"/>
          <w:numId w:val="13"/>
        </w:numPr>
        <w:tabs>
          <w:tab w:val="left" w:pos="262"/>
        </w:tabs>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酶标仪（450nm）</w:t>
      </w:r>
    </w:p>
    <w:p w14:paraId="777F0F4A">
      <w:pPr>
        <w:numPr>
          <w:ilvl w:val="0"/>
          <w:numId w:val="13"/>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高精度移液器及吸头：0.5-10μl、5-50μl、20-200μl、200-1000μl</w:t>
      </w:r>
    </w:p>
    <w:p w14:paraId="3AF878C4">
      <w:pPr>
        <w:numPr>
          <w:ilvl w:val="0"/>
          <w:numId w:val="13"/>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37℃恒温箱</w:t>
      </w:r>
    </w:p>
    <w:p w14:paraId="655047CA">
      <w:pPr>
        <w:numPr>
          <w:ilvl w:val="0"/>
          <w:numId w:val="13"/>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蒸馏水或去离子水</w:t>
      </w:r>
    </w:p>
    <w:p w14:paraId="3B4E91E8">
      <w:pPr>
        <w:pStyle w:val="4"/>
        <w:bidi w:val="0"/>
        <w:ind w:left="0" w:leftChars="0" w:firstLine="0" w:firstLineChars="0"/>
        <w:rPr>
          <w:rFonts w:hint="eastAsia"/>
          <w:lang w:val="en-US" w:eastAsia="zh-CN"/>
        </w:rPr>
      </w:pPr>
      <w:bookmarkStart w:id="4" w:name="_Toc17362"/>
      <w:r>
        <w:rPr>
          <w:rFonts w:hint="eastAsia"/>
          <w:lang w:val="en-US" w:eastAsia="zh-CN"/>
        </w:rPr>
        <w:t>检测前准备工作：</w:t>
      </w:r>
      <w:bookmarkEnd w:id="4"/>
    </w:p>
    <w:p w14:paraId="2C5A3095">
      <w:pPr>
        <w:numPr>
          <w:ilvl w:val="0"/>
          <w:numId w:val="14"/>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请提前10分钟从冰箱中取出试剂盒，平衡至室温。</w:t>
      </w:r>
    </w:p>
    <w:p w14:paraId="167AE3DB">
      <w:pPr>
        <w:numPr>
          <w:ilvl w:val="0"/>
          <w:numId w:val="14"/>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标准品梯度工作液配制：取1ml通用稀释液，配置10ng/ml的标准品溶液，然后按照以下所述的方法进行稀释。</w:t>
      </w:r>
    </w:p>
    <w:p w14:paraId="73C80BA8">
      <w:pPr>
        <w:numPr>
          <w:ilvl w:val="0"/>
          <w:numId w:val="0"/>
        </w:numPr>
        <w:ind w:firstLine="560" w:firstLineChars="200"/>
        <w:rPr>
          <w:rFonts w:hint="eastAsia" w:ascii="宋体" w:hAnsi="宋体" w:eastAsia="宋体" w:cs="宋体"/>
          <w:lang w:val="en-US" w:eastAsia="zh-CN"/>
        </w:rPr>
      </w:pPr>
      <w:r>
        <w:rPr>
          <w:rFonts w:hint="eastAsia" w:ascii="宋体" w:hAnsi="宋体" w:eastAsia="宋体" w:cs="宋体"/>
          <w:lang w:val="en-US" w:eastAsia="zh-CN"/>
        </w:rPr>
        <w:t>稀释方法：取6支EP管，每管加入500μl通用稀释液，10ng/ml的标准品工作液中吸取500μl到第一支EP管中混匀配成5ng/ml的标准品工作液，按此步骤往后依次吸取混匀，最后设置空白对照孔。</w:t>
      </w:r>
    </w:p>
    <w:p w14:paraId="07D331F2">
      <w:pPr>
        <w:numPr>
          <w:ilvl w:val="0"/>
          <w:numId w:val="14"/>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HRP标记的检测抗体工作液配制：使用前15分钟将浓缩生物素化抗体于1000×g离心1分钟，以通用稀释液将1000×浓缩生物素化抗体稀释成1×工作浓度，现配现用。</w:t>
      </w:r>
    </w:p>
    <w:p w14:paraId="67E29694">
      <w:pPr>
        <w:numPr>
          <w:ilvl w:val="0"/>
          <w:numId w:val="14"/>
        </w:numPr>
        <w:ind w:left="0" w:leftChars="0" w:firstLine="400" w:firstLineChars="0"/>
        <w:rPr>
          <w:rFonts w:hint="eastAsia" w:ascii="宋体" w:hAnsi="宋体" w:eastAsia="宋体" w:cs="宋体"/>
          <w:lang w:val="en-US" w:eastAsia="zh-CN"/>
        </w:rPr>
      </w:pPr>
      <w:r>
        <w:rPr>
          <w:rFonts w:hint="eastAsia" w:ascii="宋体" w:hAnsi="宋体" w:eastAsia="宋体" w:cs="宋体"/>
          <w:lang w:val="en-US" w:eastAsia="zh-CN"/>
        </w:rPr>
        <w:t>1×洗涤液配制：取10ml20×洗涤液到190ml蒸馏水中（从冰箱中取出的浓缩洗涤液可能有结晶，属于正常现象，可放置室温，待结晶完全溶解后再配制）。</w:t>
      </w:r>
    </w:p>
    <w:p w14:paraId="4BEB6195">
      <w:pPr>
        <w:pStyle w:val="4"/>
        <w:bidi w:val="0"/>
        <w:ind w:left="0" w:leftChars="0" w:firstLine="0" w:firstLineChars="0"/>
        <w:rPr>
          <w:rFonts w:hint="eastAsia"/>
          <w:lang w:val="en-US" w:eastAsia="zh-CN"/>
        </w:rPr>
      </w:pPr>
      <w:bookmarkStart w:id="5" w:name="_Toc15808"/>
      <w:r>
        <w:rPr>
          <w:rFonts w:hint="eastAsia"/>
          <w:lang w:val="en-US" w:eastAsia="zh-CN"/>
        </w:rPr>
        <w:t>操作步骤：</w:t>
      </w:r>
      <w:bookmarkEnd w:id="5"/>
    </w:p>
    <w:p w14:paraId="6BF1CF55">
      <w:pPr>
        <w:numPr>
          <w:ilvl w:val="0"/>
          <w:numId w:val="0"/>
        </w:numPr>
        <w:ind w:firstLine="560" w:firstLineChars="200"/>
        <w:rPr>
          <w:rFonts w:hint="eastAsia" w:ascii="宋体" w:hAnsi="宋体" w:eastAsia="宋体" w:cs="宋体"/>
          <w:lang w:val="en-US" w:eastAsia="zh-CN"/>
        </w:rPr>
      </w:pPr>
      <w:r>
        <w:rPr>
          <w:rFonts w:hint="eastAsia" w:ascii="宋体" w:hAnsi="宋体" w:eastAsia="宋体" w:cs="宋体"/>
          <w:lang w:val="en-US" w:eastAsia="zh-CN"/>
        </w:rPr>
        <w:t>1.酶标条从冰箱取出后平衡至室温，取出实验所需，剩余用自封袋密封放回4℃。</w:t>
      </w:r>
    </w:p>
    <w:p w14:paraId="3998E493">
      <w:pPr>
        <w:numPr>
          <w:ilvl w:val="0"/>
          <w:numId w:val="0"/>
        </w:numPr>
        <w:ind w:firstLine="560" w:firstLineChars="200"/>
        <w:rPr>
          <w:rFonts w:hint="eastAsia" w:ascii="宋体" w:hAnsi="宋体" w:eastAsia="宋体" w:cs="宋体"/>
          <w:lang w:val="en-US" w:eastAsia="zh-CN"/>
        </w:rPr>
      </w:pPr>
      <w:r>
        <w:rPr>
          <w:rFonts w:hint="eastAsia" w:ascii="宋体" w:hAnsi="宋体" w:eastAsia="宋体" w:cs="宋体"/>
          <w:lang w:val="en-US" w:eastAsia="zh-CN"/>
        </w:rPr>
        <w:t>2.加样：分别将样品或不同浓度标准品按照100μl每孔加入相应孔中，空白孔加入100μl通用稀释液。贴上封条后37℃温育40分钟。（将待测样本用通用稀释液稀释4倍后再加入酶标板内检测，减少基质效应对测试结果的影响，最后计算样本浓度时再乘以稀释倍数，建议所有的待测样本和标准品在检测中设置复孔）。</w:t>
      </w:r>
    </w:p>
    <w:p w14:paraId="57A5D238">
      <w:pPr>
        <w:numPr>
          <w:ilvl w:val="0"/>
          <w:numId w:val="0"/>
        </w:numPr>
        <w:ind w:firstLine="560" w:firstLineChars="200"/>
        <w:rPr>
          <w:rFonts w:hint="eastAsia" w:ascii="宋体" w:hAnsi="宋体" w:eastAsia="宋体" w:cs="宋体"/>
          <w:lang w:val="en-US" w:eastAsia="zh-CN"/>
        </w:rPr>
      </w:pPr>
      <w:r>
        <w:rPr>
          <w:rFonts w:hint="eastAsia" w:ascii="宋体" w:hAnsi="宋体" w:eastAsia="宋体" w:cs="宋体"/>
          <w:lang w:val="en-US" w:eastAsia="zh-CN"/>
        </w:rPr>
        <w:t>酶标条包被排布如下：</w:t>
      </w:r>
    </w:p>
    <w:p w14:paraId="6E2026B0">
      <w:pPr>
        <w:numPr>
          <w:ilvl w:val="0"/>
          <w:numId w:val="0"/>
        </w:numPr>
        <w:ind w:firstLine="560" w:firstLineChars="200"/>
        <w:rPr>
          <w:rFonts w:hint="default" w:ascii="宋体" w:hAnsi="宋体" w:eastAsia="宋体" w:cs="宋体"/>
          <w:lang w:val="en-US" w:eastAsia="zh-CN"/>
        </w:rPr>
      </w:pPr>
      <w:r>
        <w:rPr>
          <w:rFonts w:hint="eastAsia" w:ascii="宋体" w:hAnsi="宋体" w:eastAsia="宋体" w:cs="宋体"/>
          <w:lang w:val="en-US" w:eastAsia="zh-CN"/>
        </w:rPr>
        <w:t>黄色为叶酸受体包被孔，绿色为空白包被孔。</w:t>
      </w:r>
    </w:p>
    <w:p w14:paraId="5FA70BB8">
      <w:pPr>
        <w:numPr>
          <w:ilvl w:val="0"/>
          <w:numId w:val="0"/>
        </w:numPr>
        <w:ind w:firstLine="560" w:firstLineChars="200"/>
        <w:rPr>
          <w:rFonts w:hint="eastAsia" w:ascii="宋体" w:hAnsi="宋体" w:eastAsia="宋体" w:cs="宋体"/>
          <w:lang w:val="en-US" w:eastAsia="zh-CN"/>
        </w:rPr>
      </w:pPr>
      <w:r>
        <w:rPr>
          <w:rFonts w:hint="eastAsia" w:ascii="宋体" w:hAnsi="宋体" w:eastAsia="宋体" w:cs="宋体"/>
          <w:lang w:val="en-US" w:eastAsia="zh-CN"/>
        </w:rPr>
        <w:t>1，2列设计为标准品检测孔。</w:t>
      </w:r>
    </w:p>
    <w:p w14:paraId="59BFF138">
      <w:pPr>
        <w:numPr>
          <w:ilvl w:val="0"/>
          <w:numId w:val="0"/>
        </w:numPr>
        <w:ind w:firstLine="560" w:firstLineChars="200"/>
        <w:rPr>
          <w:rFonts w:hint="default" w:ascii="宋体" w:hAnsi="宋体" w:eastAsia="宋体" w:cs="宋体"/>
          <w:lang w:val="en-US" w:eastAsia="zh-CN"/>
        </w:rPr>
      </w:pPr>
      <w:r>
        <w:rPr>
          <w:rFonts w:hint="eastAsia" w:ascii="宋体" w:hAnsi="宋体" w:eastAsia="宋体" w:cs="宋体"/>
          <w:lang w:val="en-US" w:eastAsia="zh-CN"/>
        </w:rPr>
        <w:t>单样品检测孔设计为绿+黄两孔，差值为实际读数。</w:t>
      </w:r>
    </w:p>
    <w:p w14:paraId="0A3FC6BB">
      <w:pPr>
        <w:numPr>
          <w:ilvl w:val="0"/>
          <w:numId w:val="0"/>
        </w:numPr>
        <w:ind w:left="400" w:leftChars="0"/>
      </w:pPr>
      <w:r>
        <w:drawing>
          <wp:inline distT="0" distB="0" distL="114300" distR="114300">
            <wp:extent cx="5257800" cy="358140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257800" cy="3581400"/>
                    </a:xfrm>
                    <a:prstGeom prst="rect">
                      <a:avLst/>
                    </a:prstGeom>
                    <a:noFill/>
                    <a:ln>
                      <a:noFill/>
                    </a:ln>
                  </pic:spPr>
                </pic:pic>
              </a:graphicData>
            </a:graphic>
          </wp:inline>
        </w:drawing>
      </w:r>
    </w:p>
    <w:p w14:paraId="36B3EDE4">
      <w:pPr>
        <w:numPr>
          <w:ilvl w:val="0"/>
          <w:numId w:val="0"/>
        </w:numPr>
        <w:ind w:left="0" w:leftChars="0" w:firstLine="400" w:firstLineChars="0"/>
        <w:rPr>
          <w:rFonts w:hint="eastAsia" w:ascii="宋体" w:hAnsi="宋体" w:eastAsia="宋体" w:cs="宋体"/>
          <w:lang w:val="en-US" w:eastAsia="zh-CN"/>
        </w:rPr>
      </w:pPr>
      <w:r>
        <w:rPr>
          <w:rFonts w:hint="eastAsia" w:ascii="宋体" w:hAnsi="宋体" w:eastAsia="宋体" w:cs="宋体"/>
          <w:kern w:val="2"/>
          <w:sz w:val="28"/>
          <w:szCs w:val="24"/>
          <w:lang w:val="en-US" w:eastAsia="zh-CN" w:bidi="ar-SA"/>
        </w:rPr>
        <w:t>4.</w:t>
      </w:r>
      <w:r>
        <w:rPr>
          <w:rFonts w:hint="eastAsia" w:ascii="宋体" w:hAnsi="宋体" w:eastAsia="宋体" w:cs="宋体"/>
          <w:lang w:val="en-US" w:eastAsia="zh-CN"/>
        </w:rPr>
        <w:t>洗板：温育完成后，弃去液体，每孔加入200μl1×洗涤液，静置1分钟，弃去洗涤液，并在吸水纸上拍干，重复洗涤5次。也可用洗板机代替洗涤过程。</w:t>
      </w:r>
    </w:p>
    <w:p w14:paraId="6811D9EC">
      <w:pPr>
        <w:numPr>
          <w:ilvl w:val="0"/>
          <w:numId w:val="0"/>
        </w:numPr>
        <w:ind w:left="0" w:leftChars="0" w:firstLine="400" w:firstLineChars="0"/>
        <w:rPr>
          <w:rFonts w:hint="eastAsia" w:ascii="宋体" w:hAnsi="宋体" w:eastAsia="宋体" w:cs="宋体"/>
          <w:lang w:val="en-US" w:eastAsia="zh-CN"/>
        </w:rPr>
      </w:pPr>
      <w:r>
        <w:rPr>
          <w:rFonts w:hint="eastAsia" w:ascii="宋体" w:hAnsi="宋体" w:eastAsia="宋体" w:cs="宋体"/>
          <w:kern w:val="2"/>
          <w:sz w:val="28"/>
          <w:szCs w:val="24"/>
          <w:lang w:val="en-US" w:eastAsia="zh-CN" w:bidi="ar-SA"/>
        </w:rPr>
        <w:t>5.</w:t>
      </w:r>
      <w:r>
        <w:rPr>
          <w:rFonts w:hint="eastAsia" w:ascii="宋体" w:hAnsi="宋体" w:eastAsia="宋体" w:cs="宋体"/>
          <w:lang w:val="en-US" w:eastAsia="zh-CN"/>
        </w:rPr>
        <w:t>加检测抗体：每孔直接加入检测抗体工作液100μl，盖上封板膜后37℃温育30分钟。（检测抗体分样品和标准品两种，注意区分）</w:t>
      </w:r>
    </w:p>
    <w:p w14:paraId="7CE9C070">
      <w:pPr>
        <w:numPr>
          <w:ilvl w:val="0"/>
          <w:numId w:val="0"/>
        </w:numPr>
        <w:ind w:left="0" w:leftChars="0" w:firstLine="400" w:firstLineChars="0"/>
        <w:rPr>
          <w:rFonts w:hint="eastAsia" w:ascii="宋体" w:hAnsi="宋体" w:eastAsia="宋体" w:cs="宋体"/>
          <w:lang w:val="en-US" w:eastAsia="zh-CN"/>
        </w:rPr>
      </w:pPr>
      <w:r>
        <w:rPr>
          <w:rFonts w:hint="eastAsia" w:ascii="宋体" w:hAnsi="宋体" w:eastAsia="宋体" w:cs="宋体"/>
          <w:kern w:val="2"/>
          <w:sz w:val="28"/>
          <w:szCs w:val="24"/>
          <w:lang w:val="en-US" w:eastAsia="zh-CN" w:bidi="ar-SA"/>
        </w:rPr>
        <w:t>6.</w:t>
      </w:r>
      <w:r>
        <w:rPr>
          <w:rFonts w:hint="eastAsia" w:ascii="宋体" w:hAnsi="宋体" w:eastAsia="宋体" w:cs="宋体"/>
          <w:lang w:val="en-US" w:eastAsia="zh-CN"/>
        </w:rPr>
        <w:t>洗板：温育完成后，弃去液体，每孔加入200μl1×洗涤液，静置1分钟，弃去洗涤液，并在吸水纸上拍干，重复洗涤6次。也可用洗板机代替洗涤过程。</w:t>
      </w:r>
    </w:p>
    <w:p w14:paraId="07C9867E">
      <w:pPr>
        <w:numPr>
          <w:ilvl w:val="0"/>
          <w:numId w:val="0"/>
        </w:numPr>
        <w:ind w:left="0" w:leftChars="0" w:firstLine="400" w:firstLineChars="0"/>
        <w:rPr>
          <w:rFonts w:hint="eastAsia" w:ascii="宋体" w:hAnsi="宋体" w:eastAsia="宋体" w:cs="宋体"/>
          <w:lang w:val="en-US" w:eastAsia="zh-CN"/>
        </w:rPr>
      </w:pPr>
      <w:r>
        <w:rPr>
          <w:rFonts w:hint="eastAsia" w:ascii="宋体" w:hAnsi="宋体" w:eastAsia="宋体" w:cs="宋体"/>
          <w:kern w:val="2"/>
          <w:sz w:val="28"/>
          <w:szCs w:val="24"/>
          <w:lang w:val="en-US" w:eastAsia="zh-CN" w:bidi="ar-SA"/>
        </w:rPr>
        <w:t>7.</w:t>
      </w:r>
      <w:r>
        <w:rPr>
          <w:rFonts w:hint="eastAsia" w:ascii="宋体" w:hAnsi="宋体" w:eastAsia="宋体" w:cs="宋体"/>
          <w:lang w:val="en-US" w:eastAsia="zh-CN"/>
        </w:rPr>
        <w:t>底物反应：每孔加入底物（TMB）90μl，盖上封板膜，室温孵育15分钟。</w:t>
      </w:r>
    </w:p>
    <w:p w14:paraId="0516C6D8">
      <w:pPr>
        <w:numPr>
          <w:ilvl w:val="0"/>
          <w:numId w:val="0"/>
        </w:numPr>
        <w:ind w:left="0" w:leftChars="0" w:firstLine="400" w:firstLineChars="0"/>
        <w:rPr>
          <w:rFonts w:hint="eastAsia" w:ascii="宋体" w:hAnsi="宋体" w:eastAsia="宋体" w:cs="宋体"/>
          <w:lang w:val="en-US" w:eastAsia="zh-CN"/>
        </w:rPr>
      </w:pPr>
      <w:r>
        <w:rPr>
          <w:rFonts w:hint="eastAsia" w:ascii="宋体" w:hAnsi="宋体" w:eastAsia="宋体" w:cs="宋体"/>
          <w:kern w:val="2"/>
          <w:sz w:val="28"/>
          <w:szCs w:val="24"/>
          <w:lang w:val="en-US" w:eastAsia="zh-CN" w:bidi="ar-SA"/>
        </w:rPr>
        <w:t>8.</w:t>
      </w:r>
      <w:r>
        <w:rPr>
          <w:rFonts w:hint="eastAsia" w:ascii="宋体" w:hAnsi="宋体" w:eastAsia="宋体" w:cs="宋体"/>
          <w:lang w:val="en-US" w:eastAsia="zh-CN"/>
        </w:rPr>
        <w:t>终止：每孔加入终止液50μl，立即在450nm波长处测定各孔的OD值。加入终止液后时间过长会影响最终读数。</w:t>
      </w:r>
    </w:p>
    <w:p w14:paraId="6BEB620D">
      <w:pPr>
        <w:pStyle w:val="4"/>
        <w:bidi w:val="0"/>
        <w:ind w:left="0" w:leftChars="0" w:firstLine="0" w:firstLineChars="0"/>
        <w:rPr>
          <w:rFonts w:hint="eastAsia"/>
          <w:lang w:val="en-US" w:eastAsia="zh-CN"/>
        </w:rPr>
      </w:pPr>
      <w:bookmarkStart w:id="6" w:name="_Toc12673"/>
      <w:r>
        <w:rPr>
          <w:rFonts w:hint="eastAsia"/>
          <w:lang w:val="en-US" w:eastAsia="zh-CN"/>
        </w:rPr>
        <w:t>实验结果计算：</w:t>
      </w:r>
      <w:bookmarkEnd w:id="6"/>
    </w:p>
    <w:p w14:paraId="2C9D65FE">
      <w:pPr>
        <w:rPr>
          <w:rFonts w:hint="eastAsia" w:ascii="宋体" w:hAnsi="宋体" w:eastAsia="宋体" w:cs="宋体"/>
          <w:lang w:val="en-US" w:eastAsia="zh-CN"/>
        </w:rPr>
      </w:pPr>
      <w:r>
        <w:rPr>
          <w:rFonts w:hint="eastAsia" w:ascii="宋体" w:hAnsi="宋体" w:eastAsia="宋体" w:cs="宋体"/>
          <w:lang w:val="en-US" w:eastAsia="zh-CN"/>
        </w:rPr>
        <w:t>计算样品和标准品复孔的平均OD值减去空白孔的OD值作为校正值。在双对数坐标纸上，以浓度为横坐标，OD值为纵坐标绘制标准曲线，并计算出标准曲线。</w:t>
      </w:r>
    </w:p>
    <w:p w14:paraId="352DC39C">
      <w:pPr>
        <w:rPr>
          <w:rFonts w:hint="eastAsia" w:ascii="宋体" w:hAnsi="宋体" w:eastAsia="宋体" w:cs="宋体"/>
          <w:lang w:val="en-US" w:eastAsia="zh-CN"/>
        </w:rPr>
      </w:pPr>
      <w:r>
        <w:rPr>
          <w:rFonts w:hint="eastAsia" w:ascii="宋体" w:hAnsi="宋体" w:eastAsia="宋体" w:cs="宋体"/>
          <w:lang w:val="en-US" w:eastAsia="zh-CN"/>
        </w:rPr>
        <w:t>根据样品的OD值计算出待测物的浓度，若样品的OD值高于标准曲线的上限，应适当稀释后重测。</w:t>
      </w:r>
    </w:p>
    <w:p w14:paraId="0838E455">
      <w:pPr>
        <w:rPr>
          <w:rFonts w:hint="eastAsia" w:ascii="宋体" w:hAnsi="宋体" w:eastAsia="宋体" w:cs="宋体"/>
          <w:b/>
          <w:bCs/>
          <w:lang w:val="en-US" w:eastAsia="zh-CN"/>
        </w:rPr>
      </w:pPr>
      <w:r>
        <w:rPr>
          <w:rFonts w:hint="eastAsia" w:ascii="宋体" w:hAnsi="宋体" w:eastAsia="宋体" w:cs="宋体"/>
          <w:b/>
          <w:bCs/>
          <w:lang w:val="en-US" w:eastAsia="zh-CN"/>
        </w:rPr>
        <w:t>参考曲线：</w:t>
      </w:r>
    </w:p>
    <w:tbl>
      <w:tblPr>
        <w:tblStyle w:val="88"/>
        <w:tblW w:w="8647"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89"/>
        <w:gridCol w:w="1310"/>
        <w:gridCol w:w="1310"/>
        <w:gridCol w:w="1310"/>
        <w:gridCol w:w="1310"/>
        <w:gridCol w:w="1318"/>
      </w:tblGrid>
      <w:tr w14:paraId="2703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6" w:hRule="atLeast"/>
        </w:trPr>
        <w:tc>
          <w:tcPr>
            <w:tcW w:w="2300" w:type="dxa"/>
            <w:tcBorders>
              <w:top w:val="single" w:color="F19615" w:sz="12" w:space="0"/>
              <w:left w:val="nil"/>
              <w:bottom w:val="single" w:color="F19615" w:sz="4" w:space="0"/>
              <w:right w:val="nil"/>
              <w:tl2br w:val="nil"/>
            </w:tcBorders>
            <w:shd w:val="clear" w:color="auto" w:fill="FFFFFF"/>
            <w:tcMar>
              <w:top w:w="15" w:type="dxa"/>
              <w:left w:w="15" w:type="dxa"/>
              <w:right w:w="15" w:type="dxa"/>
            </w:tcMar>
            <w:vAlign w:val="center"/>
          </w:tcPr>
          <w:p w14:paraId="34105711">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标准蛋白浓度</w:t>
            </w:r>
            <w:r>
              <w:rPr>
                <w:rFonts w:hint="eastAsia" w:ascii="宋体" w:hAnsi="宋体" w:eastAsia="宋体" w:cs="宋体"/>
                <w:b w:val="0"/>
                <w:color w:val="000000"/>
                <w:sz w:val="24"/>
                <w:szCs w:val="22"/>
              </w:rPr>
              <w:br w:type="textWrapping"/>
            </w:r>
            <w:r>
              <w:rPr>
                <w:rFonts w:hint="eastAsia" w:ascii="宋体" w:hAnsi="宋体" w:eastAsia="宋体" w:cs="宋体"/>
                <w:b w:val="0"/>
                <w:color w:val="000000"/>
                <w:sz w:val="24"/>
                <w:szCs w:val="22"/>
              </w:rPr>
              <w:t>（</w:t>
            </w:r>
            <w:r>
              <w:rPr>
                <w:rFonts w:hint="eastAsia" w:ascii="宋体" w:hAnsi="宋体" w:eastAsia="宋体" w:cs="宋体"/>
                <w:b w:val="0"/>
                <w:color w:val="000000"/>
                <w:sz w:val="24"/>
                <w:szCs w:val="22"/>
                <w:lang w:val="en-US" w:eastAsia="zh-CN"/>
              </w:rPr>
              <w:t>n</w:t>
            </w:r>
            <w:r>
              <w:rPr>
                <w:rFonts w:hint="eastAsia" w:ascii="宋体" w:hAnsi="宋体" w:eastAsia="宋体" w:cs="宋体"/>
                <w:b w:val="0"/>
                <w:color w:val="000000"/>
                <w:sz w:val="24"/>
                <w:szCs w:val="22"/>
              </w:rPr>
              <w:t>g/ml）</w:t>
            </w:r>
          </w:p>
        </w:tc>
        <w:tc>
          <w:tcPr>
            <w:tcW w:w="1253"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7A129713">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1</w:t>
            </w:r>
          </w:p>
        </w:tc>
        <w:tc>
          <w:tcPr>
            <w:tcW w:w="1253"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2DB904DD">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2</w:t>
            </w:r>
          </w:p>
        </w:tc>
        <w:tc>
          <w:tcPr>
            <w:tcW w:w="1253"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00F0A3B7">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3</w:t>
            </w:r>
          </w:p>
        </w:tc>
        <w:tc>
          <w:tcPr>
            <w:tcW w:w="1268"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3FD8AF53">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平均值</w:t>
            </w:r>
          </w:p>
        </w:tc>
        <w:tc>
          <w:tcPr>
            <w:tcW w:w="1320"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58B0E55C">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校准值</w:t>
            </w:r>
          </w:p>
        </w:tc>
      </w:tr>
      <w:tr w14:paraId="0A3F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single" w:color="F19615" w:sz="4" w:space="0"/>
              <w:left w:val="nil"/>
              <w:bottom w:val="nil"/>
              <w:right w:val="nil"/>
            </w:tcBorders>
            <w:shd w:val="clear" w:color="auto" w:fill="FFFFFF"/>
            <w:tcMar>
              <w:top w:w="15" w:type="dxa"/>
              <w:left w:w="15" w:type="dxa"/>
              <w:right w:w="15" w:type="dxa"/>
            </w:tcMar>
            <w:vAlign w:val="center"/>
          </w:tcPr>
          <w:p w14:paraId="3C462813">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0</w:t>
            </w:r>
          </w:p>
        </w:tc>
        <w:tc>
          <w:tcPr>
            <w:tcW w:w="1253" w:type="dxa"/>
            <w:tcBorders>
              <w:top w:val="single" w:color="F19615" w:sz="4" w:space="0"/>
              <w:left w:val="nil"/>
              <w:bottom w:val="nil"/>
              <w:right w:val="nil"/>
            </w:tcBorders>
            <w:shd w:val="clear" w:color="auto" w:fill="FFFFFF"/>
            <w:tcMar>
              <w:top w:w="15" w:type="dxa"/>
              <w:left w:w="15" w:type="dxa"/>
              <w:right w:w="15" w:type="dxa"/>
            </w:tcMar>
            <w:vAlign w:val="center"/>
          </w:tcPr>
          <w:p w14:paraId="1281BEF9">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0.1029</w:t>
            </w:r>
          </w:p>
        </w:tc>
        <w:tc>
          <w:tcPr>
            <w:tcW w:w="1253" w:type="dxa"/>
            <w:tcBorders>
              <w:top w:val="single" w:color="F19615" w:sz="4" w:space="0"/>
              <w:left w:val="nil"/>
              <w:bottom w:val="nil"/>
              <w:right w:val="nil"/>
            </w:tcBorders>
            <w:shd w:val="clear" w:color="auto" w:fill="FFFFFF"/>
            <w:tcMar>
              <w:top w:w="15" w:type="dxa"/>
              <w:left w:w="15" w:type="dxa"/>
              <w:right w:w="15" w:type="dxa"/>
            </w:tcMar>
            <w:vAlign w:val="center"/>
          </w:tcPr>
          <w:p w14:paraId="43EB7E34">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0.109</w:t>
            </w:r>
          </w:p>
        </w:tc>
        <w:tc>
          <w:tcPr>
            <w:tcW w:w="1253" w:type="dxa"/>
            <w:tcBorders>
              <w:top w:val="single" w:color="F19615" w:sz="4" w:space="0"/>
              <w:left w:val="nil"/>
              <w:bottom w:val="nil"/>
              <w:right w:val="nil"/>
            </w:tcBorders>
            <w:shd w:val="clear" w:color="auto" w:fill="FFFFFF"/>
            <w:tcMar>
              <w:top w:w="15" w:type="dxa"/>
              <w:left w:w="15" w:type="dxa"/>
              <w:right w:w="15" w:type="dxa"/>
            </w:tcMar>
            <w:vAlign w:val="center"/>
          </w:tcPr>
          <w:p w14:paraId="5D9BE4D6">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0.1082</w:t>
            </w:r>
          </w:p>
        </w:tc>
        <w:tc>
          <w:tcPr>
            <w:tcW w:w="1268" w:type="dxa"/>
            <w:tcBorders>
              <w:top w:val="single" w:color="F19615" w:sz="4" w:space="0"/>
              <w:left w:val="nil"/>
              <w:bottom w:val="nil"/>
              <w:right w:val="nil"/>
            </w:tcBorders>
            <w:shd w:val="clear" w:color="auto" w:fill="FFFFFF"/>
            <w:tcMar>
              <w:top w:w="15" w:type="dxa"/>
              <w:left w:w="15" w:type="dxa"/>
              <w:right w:w="15" w:type="dxa"/>
            </w:tcMar>
            <w:vAlign w:val="center"/>
          </w:tcPr>
          <w:p w14:paraId="04081A8E">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0.1067</w:t>
            </w:r>
          </w:p>
        </w:tc>
        <w:tc>
          <w:tcPr>
            <w:tcW w:w="1320" w:type="dxa"/>
            <w:tcBorders>
              <w:top w:val="single" w:color="F19615" w:sz="4" w:space="0"/>
              <w:left w:val="nil"/>
              <w:bottom w:val="nil"/>
              <w:right w:val="nil"/>
            </w:tcBorders>
            <w:shd w:val="clear" w:color="auto" w:fill="FFFFFF"/>
            <w:tcMar>
              <w:top w:w="15" w:type="dxa"/>
              <w:left w:w="15" w:type="dxa"/>
              <w:right w:w="15" w:type="dxa"/>
            </w:tcMar>
            <w:vAlign w:val="center"/>
          </w:tcPr>
          <w:p w14:paraId="6447978A">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0.0000</w:t>
            </w:r>
          </w:p>
        </w:tc>
      </w:tr>
      <w:tr w14:paraId="774A8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302DE9EF">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0.15625</w:t>
            </w:r>
          </w:p>
        </w:tc>
        <w:tc>
          <w:tcPr>
            <w:tcW w:w="1253" w:type="dxa"/>
            <w:tcBorders>
              <w:top w:val="nil"/>
              <w:left w:val="nil"/>
              <w:bottom w:val="nil"/>
              <w:right w:val="nil"/>
            </w:tcBorders>
            <w:shd w:val="clear" w:color="auto" w:fill="FFFFFF"/>
            <w:tcMar>
              <w:top w:w="15" w:type="dxa"/>
              <w:left w:w="15" w:type="dxa"/>
              <w:right w:w="15" w:type="dxa"/>
            </w:tcMar>
            <w:vAlign w:val="center"/>
          </w:tcPr>
          <w:p w14:paraId="0610C8B5">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0.2556</w:t>
            </w:r>
          </w:p>
        </w:tc>
        <w:tc>
          <w:tcPr>
            <w:tcW w:w="1253" w:type="dxa"/>
            <w:tcBorders>
              <w:top w:val="nil"/>
              <w:left w:val="nil"/>
              <w:bottom w:val="nil"/>
              <w:right w:val="nil"/>
            </w:tcBorders>
            <w:shd w:val="clear" w:color="auto" w:fill="FFFFFF"/>
            <w:tcMar>
              <w:top w:w="15" w:type="dxa"/>
              <w:left w:w="15" w:type="dxa"/>
              <w:right w:w="15" w:type="dxa"/>
            </w:tcMar>
            <w:vAlign w:val="center"/>
          </w:tcPr>
          <w:p w14:paraId="46ADB0B5">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0.2395</w:t>
            </w:r>
          </w:p>
        </w:tc>
        <w:tc>
          <w:tcPr>
            <w:tcW w:w="1253" w:type="dxa"/>
            <w:tcBorders>
              <w:top w:val="nil"/>
              <w:left w:val="nil"/>
              <w:bottom w:val="nil"/>
              <w:right w:val="nil"/>
            </w:tcBorders>
            <w:shd w:val="clear" w:color="auto" w:fill="FFFFFF"/>
            <w:tcMar>
              <w:top w:w="15" w:type="dxa"/>
              <w:left w:w="15" w:type="dxa"/>
              <w:right w:w="15" w:type="dxa"/>
            </w:tcMar>
            <w:vAlign w:val="center"/>
          </w:tcPr>
          <w:p w14:paraId="0B5023EF">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0.2249</w:t>
            </w:r>
          </w:p>
        </w:tc>
        <w:tc>
          <w:tcPr>
            <w:tcW w:w="1268" w:type="dxa"/>
            <w:tcBorders>
              <w:top w:val="nil"/>
              <w:left w:val="nil"/>
              <w:bottom w:val="nil"/>
              <w:right w:val="nil"/>
            </w:tcBorders>
            <w:shd w:val="clear" w:color="auto" w:fill="FFFFFF"/>
            <w:tcMar>
              <w:top w:w="15" w:type="dxa"/>
              <w:left w:w="15" w:type="dxa"/>
              <w:right w:w="15" w:type="dxa"/>
            </w:tcMar>
            <w:vAlign w:val="center"/>
          </w:tcPr>
          <w:p w14:paraId="4E311A92">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0.2400</w:t>
            </w:r>
          </w:p>
        </w:tc>
        <w:tc>
          <w:tcPr>
            <w:tcW w:w="1320" w:type="dxa"/>
            <w:tcBorders>
              <w:top w:val="nil"/>
              <w:left w:val="nil"/>
              <w:bottom w:val="nil"/>
              <w:right w:val="nil"/>
            </w:tcBorders>
            <w:shd w:val="clear" w:color="auto" w:fill="FFFFFF"/>
            <w:tcMar>
              <w:top w:w="15" w:type="dxa"/>
              <w:left w:w="15" w:type="dxa"/>
              <w:right w:w="15" w:type="dxa"/>
            </w:tcMar>
            <w:vAlign w:val="center"/>
          </w:tcPr>
          <w:p w14:paraId="05131E3D">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0.1333</w:t>
            </w:r>
          </w:p>
        </w:tc>
      </w:tr>
      <w:tr w14:paraId="761F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6A062B5A">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0.3125</w:t>
            </w:r>
          </w:p>
        </w:tc>
        <w:tc>
          <w:tcPr>
            <w:tcW w:w="1253" w:type="dxa"/>
            <w:tcBorders>
              <w:top w:val="nil"/>
              <w:left w:val="nil"/>
              <w:bottom w:val="nil"/>
              <w:right w:val="nil"/>
            </w:tcBorders>
            <w:shd w:val="clear" w:color="auto" w:fill="FFFFFF"/>
            <w:tcMar>
              <w:top w:w="15" w:type="dxa"/>
              <w:left w:w="15" w:type="dxa"/>
              <w:right w:w="15" w:type="dxa"/>
            </w:tcMar>
            <w:vAlign w:val="center"/>
          </w:tcPr>
          <w:p w14:paraId="1570939F">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0.3571</w:t>
            </w:r>
          </w:p>
        </w:tc>
        <w:tc>
          <w:tcPr>
            <w:tcW w:w="1253" w:type="dxa"/>
            <w:tcBorders>
              <w:top w:val="nil"/>
              <w:left w:val="nil"/>
              <w:bottom w:val="nil"/>
              <w:right w:val="nil"/>
            </w:tcBorders>
            <w:shd w:val="clear" w:color="auto" w:fill="FFFFFF"/>
            <w:tcMar>
              <w:top w:w="15" w:type="dxa"/>
              <w:left w:w="15" w:type="dxa"/>
              <w:right w:w="15" w:type="dxa"/>
            </w:tcMar>
            <w:vAlign w:val="center"/>
          </w:tcPr>
          <w:p w14:paraId="4DBFE229">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0.3274</w:t>
            </w:r>
          </w:p>
        </w:tc>
        <w:tc>
          <w:tcPr>
            <w:tcW w:w="1253" w:type="dxa"/>
            <w:tcBorders>
              <w:top w:val="nil"/>
              <w:left w:val="nil"/>
              <w:bottom w:val="nil"/>
              <w:right w:val="nil"/>
            </w:tcBorders>
            <w:shd w:val="clear" w:color="auto" w:fill="FFFFFF"/>
            <w:tcMar>
              <w:top w:w="15" w:type="dxa"/>
              <w:left w:w="15" w:type="dxa"/>
              <w:right w:w="15" w:type="dxa"/>
            </w:tcMar>
            <w:vAlign w:val="center"/>
          </w:tcPr>
          <w:p w14:paraId="40A2C52C">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0.3125</w:t>
            </w:r>
          </w:p>
        </w:tc>
        <w:tc>
          <w:tcPr>
            <w:tcW w:w="1268" w:type="dxa"/>
            <w:tcBorders>
              <w:top w:val="nil"/>
              <w:left w:val="nil"/>
              <w:bottom w:val="nil"/>
              <w:right w:val="nil"/>
            </w:tcBorders>
            <w:shd w:val="clear" w:color="auto" w:fill="FFFFFF"/>
            <w:tcMar>
              <w:top w:w="15" w:type="dxa"/>
              <w:left w:w="15" w:type="dxa"/>
              <w:right w:w="15" w:type="dxa"/>
            </w:tcMar>
            <w:vAlign w:val="center"/>
          </w:tcPr>
          <w:p w14:paraId="5B637339">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0.3323</w:t>
            </w:r>
          </w:p>
        </w:tc>
        <w:tc>
          <w:tcPr>
            <w:tcW w:w="1320" w:type="dxa"/>
            <w:tcBorders>
              <w:top w:val="nil"/>
              <w:left w:val="nil"/>
              <w:bottom w:val="nil"/>
              <w:right w:val="nil"/>
            </w:tcBorders>
            <w:shd w:val="clear" w:color="auto" w:fill="FFFFFF"/>
            <w:tcMar>
              <w:top w:w="15" w:type="dxa"/>
              <w:left w:w="15" w:type="dxa"/>
              <w:right w:w="15" w:type="dxa"/>
            </w:tcMar>
            <w:vAlign w:val="center"/>
          </w:tcPr>
          <w:p w14:paraId="6E8474BE">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0.2256</w:t>
            </w:r>
          </w:p>
        </w:tc>
      </w:tr>
      <w:tr w14:paraId="3BE8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421CCB82">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0.625</w:t>
            </w:r>
          </w:p>
        </w:tc>
        <w:tc>
          <w:tcPr>
            <w:tcW w:w="1253" w:type="dxa"/>
            <w:tcBorders>
              <w:top w:val="nil"/>
              <w:left w:val="nil"/>
              <w:bottom w:val="nil"/>
              <w:right w:val="nil"/>
            </w:tcBorders>
            <w:shd w:val="clear" w:color="auto" w:fill="FFFFFF"/>
            <w:tcMar>
              <w:top w:w="15" w:type="dxa"/>
              <w:left w:w="15" w:type="dxa"/>
              <w:right w:w="15" w:type="dxa"/>
            </w:tcMar>
            <w:vAlign w:val="center"/>
          </w:tcPr>
          <w:p w14:paraId="47C97577">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0.6111</w:t>
            </w:r>
          </w:p>
        </w:tc>
        <w:tc>
          <w:tcPr>
            <w:tcW w:w="1253" w:type="dxa"/>
            <w:tcBorders>
              <w:top w:val="nil"/>
              <w:left w:val="nil"/>
              <w:bottom w:val="nil"/>
              <w:right w:val="nil"/>
            </w:tcBorders>
            <w:shd w:val="clear" w:color="auto" w:fill="FFFFFF"/>
            <w:tcMar>
              <w:top w:w="15" w:type="dxa"/>
              <w:left w:w="15" w:type="dxa"/>
              <w:right w:w="15" w:type="dxa"/>
            </w:tcMar>
            <w:vAlign w:val="center"/>
          </w:tcPr>
          <w:p w14:paraId="2F94E9CB">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0.5198</w:t>
            </w:r>
          </w:p>
        </w:tc>
        <w:tc>
          <w:tcPr>
            <w:tcW w:w="1253" w:type="dxa"/>
            <w:tcBorders>
              <w:top w:val="nil"/>
              <w:left w:val="nil"/>
              <w:bottom w:val="nil"/>
              <w:right w:val="nil"/>
            </w:tcBorders>
            <w:shd w:val="clear" w:color="auto" w:fill="FFFFFF"/>
            <w:tcMar>
              <w:top w:w="15" w:type="dxa"/>
              <w:left w:w="15" w:type="dxa"/>
              <w:right w:w="15" w:type="dxa"/>
            </w:tcMar>
            <w:vAlign w:val="center"/>
          </w:tcPr>
          <w:p w14:paraId="21FC4857">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0.5099</w:t>
            </w:r>
          </w:p>
        </w:tc>
        <w:tc>
          <w:tcPr>
            <w:tcW w:w="1268" w:type="dxa"/>
            <w:tcBorders>
              <w:top w:val="nil"/>
              <w:left w:val="nil"/>
              <w:bottom w:val="nil"/>
              <w:right w:val="nil"/>
            </w:tcBorders>
            <w:shd w:val="clear" w:color="auto" w:fill="FFFFFF"/>
            <w:tcMar>
              <w:top w:w="15" w:type="dxa"/>
              <w:left w:w="15" w:type="dxa"/>
              <w:right w:w="15" w:type="dxa"/>
            </w:tcMar>
            <w:vAlign w:val="center"/>
          </w:tcPr>
          <w:p w14:paraId="169AD5AD">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0.5469</w:t>
            </w:r>
          </w:p>
        </w:tc>
        <w:tc>
          <w:tcPr>
            <w:tcW w:w="1320" w:type="dxa"/>
            <w:tcBorders>
              <w:top w:val="nil"/>
              <w:left w:val="nil"/>
              <w:bottom w:val="nil"/>
              <w:right w:val="nil"/>
            </w:tcBorders>
            <w:shd w:val="clear" w:color="auto" w:fill="FFFFFF"/>
            <w:tcMar>
              <w:top w:w="15" w:type="dxa"/>
              <w:left w:w="15" w:type="dxa"/>
              <w:right w:w="15" w:type="dxa"/>
            </w:tcMar>
            <w:vAlign w:val="center"/>
          </w:tcPr>
          <w:p w14:paraId="494A8749">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0.4402</w:t>
            </w:r>
          </w:p>
        </w:tc>
      </w:tr>
      <w:tr w14:paraId="7AF4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23E624C6">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1.25</w:t>
            </w:r>
          </w:p>
        </w:tc>
        <w:tc>
          <w:tcPr>
            <w:tcW w:w="1253" w:type="dxa"/>
            <w:tcBorders>
              <w:top w:val="nil"/>
              <w:left w:val="nil"/>
              <w:bottom w:val="nil"/>
              <w:right w:val="nil"/>
            </w:tcBorders>
            <w:shd w:val="clear" w:color="auto" w:fill="FFFFFF"/>
            <w:tcMar>
              <w:top w:w="15" w:type="dxa"/>
              <w:left w:w="15" w:type="dxa"/>
              <w:right w:w="15" w:type="dxa"/>
            </w:tcMar>
            <w:vAlign w:val="center"/>
          </w:tcPr>
          <w:p w14:paraId="73E993CA">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0.9868</w:t>
            </w:r>
          </w:p>
        </w:tc>
        <w:tc>
          <w:tcPr>
            <w:tcW w:w="1253" w:type="dxa"/>
            <w:tcBorders>
              <w:top w:val="nil"/>
              <w:left w:val="nil"/>
              <w:bottom w:val="nil"/>
              <w:right w:val="nil"/>
            </w:tcBorders>
            <w:shd w:val="clear" w:color="auto" w:fill="FFFFFF"/>
            <w:tcMar>
              <w:top w:w="15" w:type="dxa"/>
              <w:left w:w="15" w:type="dxa"/>
              <w:right w:w="15" w:type="dxa"/>
            </w:tcMar>
            <w:vAlign w:val="center"/>
          </w:tcPr>
          <w:p w14:paraId="28396439">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0.8447</w:t>
            </w:r>
          </w:p>
        </w:tc>
        <w:tc>
          <w:tcPr>
            <w:tcW w:w="1253" w:type="dxa"/>
            <w:tcBorders>
              <w:top w:val="nil"/>
              <w:left w:val="nil"/>
              <w:bottom w:val="nil"/>
              <w:right w:val="nil"/>
            </w:tcBorders>
            <w:shd w:val="clear" w:color="auto" w:fill="FFFFFF"/>
            <w:tcMar>
              <w:top w:w="15" w:type="dxa"/>
              <w:left w:w="15" w:type="dxa"/>
              <w:right w:w="15" w:type="dxa"/>
            </w:tcMar>
            <w:vAlign w:val="center"/>
          </w:tcPr>
          <w:p w14:paraId="6C2503EE">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0.8188</w:t>
            </w:r>
          </w:p>
        </w:tc>
        <w:tc>
          <w:tcPr>
            <w:tcW w:w="1268" w:type="dxa"/>
            <w:tcBorders>
              <w:top w:val="nil"/>
              <w:left w:val="nil"/>
              <w:bottom w:val="nil"/>
              <w:right w:val="nil"/>
            </w:tcBorders>
            <w:shd w:val="clear" w:color="auto" w:fill="FFFFFF"/>
            <w:tcMar>
              <w:top w:w="15" w:type="dxa"/>
              <w:left w:w="15" w:type="dxa"/>
              <w:right w:w="15" w:type="dxa"/>
            </w:tcMar>
            <w:vAlign w:val="center"/>
          </w:tcPr>
          <w:p w14:paraId="70C104A3">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0.8834</w:t>
            </w:r>
          </w:p>
        </w:tc>
        <w:tc>
          <w:tcPr>
            <w:tcW w:w="1320" w:type="dxa"/>
            <w:tcBorders>
              <w:top w:val="nil"/>
              <w:left w:val="nil"/>
              <w:bottom w:val="nil"/>
              <w:right w:val="nil"/>
            </w:tcBorders>
            <w:shd w:val="clear" w:color="auto" w:fill="FFFFFF"/>
            <w:tcMar>
              <w:top w:w="15" w:type="dxa"/>
              <w:left w:w="15" w:type="dxa"/>
              <w:right w:w="15" w:type="dxa"/>
            </w:tcMar>
            <w:vAlign w:val="center"/>
          </w:tcPr>
          <w:p w14:paraId="0833580D">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0.7767</w:t>
            </w:r>
          </w:p>
        </w:tc>
      </w:tr>
      <w:tr w14:paraId="4A4F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21EB96AC">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2.5</w:t>
            </w:r>
          </w:p>
        </w:tc>
        <w:tc>
          <w:tcPr>
            <w:tcW w:w="1253" w:type="dxa"/>
            <w:tcBorders>
              <w:top w:val="nil"/>
              <w:left w:val="nil"/>
              <w:bottom w:val="nil"/>
              <w:right w:val="nil"/>
            </w:tcBorders>
            <w:shd w:val="clear" w:color="auto" w:fill="FFFFFF"/>
            <w:tcMar>
              <w:top w:w="15" w:type="dxa"/>
              <w:left w:w="15" w:type="dxa"/>
              <w:right w:w="15" w:type="dxa"/>
            </w:tcMar>
            <w:vAlign w:val="center"/>
          </w:tcPr>
          <w:p w14:paraId="6594C5EB">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1.6183</w:t>
            </w:r>
          </w:p>
        </w:tc>
        <w:tc>
          <w:tcPr>
            <w:tcW w:w="1253" w:type="dxa"/>
            <w:tcBorders>
              <w:top w:val="nil"/>
              <w:left w:val="nil"/>
              <w:bottom w:val="nil"/>
              <w:right w:val="nil"/>
            </w:tcBorders>
            <w:shd w:val="clear" w:color="auto" w:fill="FFFFFF"/>
            <w:tcMar>
              <w:top w:w="15" w:type="dxa"/>
              <w:left w:w="15" w:type="dxa"/>
              <w:right w:w="15" w:type="dxa"/>
            </w:tcMar>
            <w:vAlign w:val="center"/>
          </w:tcPr>
          <w:p w14:paraId="67936F54">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1.4055</w:t>
            </w:r>
          </w:p>
        </w:tc>
        <w:tc>
          <w:tcPr>
            <w:tcW w:w="1253" w:type="dxa"/>
            <w:tcBorders>
              <w:top w:val="nil"/>
              <w:left w:val="nil"/>
              <w:bottom w:val="nil"/>
              <w:right w:val="nil"/>
            </w:tcBorders>
            <w:shd w:val="clear" w:color="auto" w:fill="FFFFFF"/>
            <w:tcMar>
              <w:top w:w="15" w:type="dxa"/>
              <w:left w:w="15" w:type="dxa"/>
              <w:right w:w="15" w:type="dxa"/>
            </w:tcMar>
            <w:vAlign w:val="center"/>
          </w:tcPr>
          <w:p w14:paraId="31E7BBD1">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1.3077</w:t>
            </w:r>
          </w:p>
        </w:tc>
        <w:tc>
          <w:tcPr>
            <w:tcW w:w="1268" w:type="dxa"/>
            <w:tcBorders>
              <w:top w:val="nil"/>
              <w:left w:val="nil"/>
              <w:bottom w:val="nil"/>
              <w:right w:val="nil"/>
            </w:tcBorders>
            <w:shd w:val="clear" w:color="auto" w:fill="FFFFFF"/>
            <w:tcMar>
              <w:top w:w="15" w:type="dxa"/>
              <w:left w:w="15" w:type="dxa"/>
              <w:right w:w="15" w:type="dxa"/>
            </w:tcMar>
            <w:vAlign w:val="center"/>
          </w:tcPr>
          <w:p w14:paraId="3FB5ABA1">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1.4438</w:t>
            </w:r>
          </w:p>
        </w:tc>
        <w:tc>
          <w:tcPr>
            <w:tcW w:w="1320" w:type="dxa"/>
            <w:tcBorders>
              <w:top w:val="nil"/>
              <w:left w:val="nil"/>
              <w:bottom w:val="nil"/>
              <w:right w:val="nil"/>
            </w:tcBorders>
            <w:shd w:val="clear" w:color="auto" w:fill="FFFFFF"/>
            <w:tcMar>
              <w:top w:w="15" w:type="dxa"/>
              <w:left w:w="15" w:type="dxa"/>
              <w:right w:w="15" w:type="dxa"/>
            </w:tcMar>
            <w:vAlign w:val="center"/>
          </w:tcPr>
          <w:p w14:paraId="14FBFDB3">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1.3371</w:t>
            </w:r>
          </w:p>
        </w:tc>
      </w:tr>
      <w:tr w14:paraId="5291F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398F2995">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5</w:t>
            </w:r>
          </w:p>
        </w:tc>
        <w:tc>
          <w:tcPr>
            <w:tcW w:w="1253" w:type="dxa"/>
            <w:tcBorders>
              <w:top w:val="nil"/>
              <w:left w:val="nil"/>
              <w:bottom w:val="nil"/>
              <w:right w:val="nil"/>
            </w:tcBorders>
            <w:shd w:val="clear" w:color="auto" w:fill="FFFFFF"/>
            <w:tcMar>
              <w:top w:w="15" w:type="dxa"/>
              <w:left w:w="15" w:type="dxa"/>
              <w:right w:w="15" w:type="dxa"/>
            </w:tcMar>
            <w:vAlign w:val="center"/>
          </w:tcPr>
          <w:p w14:paraId="6ED4C2C9">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2.6261</w:t>
            </w:r>
          </w:p>
        </w:tc>
        <w:tc>
          <w:tcPr>
            <w:tcW w:w="1253" w:type="dxa"/>
            <w:tcBorders>
              <w:top w:val="nil"/>
              <w:left w:val="nil"/>
              <w:bottom w:val="nil"/>
              <w:right w:val="nil"/>
            </w:tcBorders>
            <w:shd w:val="clear" w:color="auto" w:fill="FFFFFF"/>
            <w:tcMar>
              <w:top w:w="15" w:type="dxa"/>
              <w:left w:w="15" w:type="dxa"/>
              <w:right w:w="15" w:type="dxa"/>
            </w:tcMar>
            <w:vAlign w:val="center"/>
          </w:tcPr>
          <w:p w14:paraId="53AF97A2">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2.2777</w:t>
            </w:r>
          </w:p>
        </w:tc>
        <w:tc>
          <w:tcPr>
            <w:tcW w:w="1253" w:type="dxa"/>
            <w:tcBorders>
              <w:top w:val="nil"/>
              <w:left w:val="nil"/>
              <w:bottom w:val="nil"/>
              <w:right w:val="nil"/>
            </w:tcBorders>
            <w:shd w:val="clear" w:color="auto" w:fill="FFFFFF"/>
            <w:tcMar>
              <w:top w:w="15" w:type="dxa"/>
              <w:left w:w="15" w:type="dxa"/>
              <w:right w:w="15" w:type="dxa"/>
            </w:tcMar>
            <w:vAlign w:val="center"/>
          </w:tcPr>
          <w:p w14:paraId="705D7C7C">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2.1484</w:t>
            </w:r>
          </w:p>
        </w:tc>
        <w:tc>
          <w:tcPr>
            <w:tcW w:w="1268" w:type="dxa"/>
            <w:tcBorders>
              <w:top w:val="nil"/>
              <w:left w:val="nil"/>
              <w:bottom w:val="nil"/>
              <w:right w:val="nil"/>
            </w:tcBorders>
            <w:shd w:val="clear" w:color="auto" w:fill="FFFFFF"/>
            <w:tcMar>
              <w:top w:w="15" w:type="dxa"/>
              <w:left w:w="15" w:type="dxa"/>
              <w:right w:w="15" w:type="dxa"/>
            </w:tcMar>
            <w:vAlign w:val="center"/>
          </w:tcPr>
          <w:p w14:paraId="24A87D95">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2.3507</w:t>
            </w:r>
          </w:p>
        </w:tc>
        <w:tc>
          <w:tcPr>
            <w:tcW w:w="1320" w:type="dxa"/>
            <w:tcBorders>
              <w:top w:val="nil"/>
              <w:left w:val="nil"/>
              <w:bottom w:val="nil"/>
              <w:right w:val="nil"/>
            </w:tcBorders>
            <w:shd w:val="clear" w:color="auto" w:fill="FFFFFF"/>
            <w:tcMar>
              <w:top w:w="15" w:type="dxa"/>
              <w:left w:w="15" w:type="dxa"/>
              <w:right w:w="15" w:type="dxa"/>
            </w:tcMar>
            <w:vAlign w:val="center"/>
          </w:tcPr>
          <w:p w14:paraId="52B310BB">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2.2440</w:t>
            </w:r>
          </w:p>
        </w:tc>
      </w:tr>
      <w:tr w14:paraId="6890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single" w:color="F19615" w:sz="12" w:space="0"/>
              <w:right w:val="nil"/>
            </w:tcBorders>
            <w:shd w:val="clear" w:color="auto" w:fill="FFFFFF"/>
            <w:tcMar>
              <w:top w:w="15" w:type="dxa"/>
              <w:left w:w="15" w:type="dxa"/>
              <w:right w:w="15" w:type="dxa"/>
            </w:tcMar>
            <w:vAlign w:val="center"/>
          </w:tcPr>
          <w:p w14:paraId="05A27FBA">
            <w:pPr>
              <w:keepNext w:val="0"/>
              <w:keepLines w:val="0"/>
              <w:widowControl/>
              <w:suppressLineNumbers w:val="0"/>
              <w:ind w:firstLine="480" w:firstLineChars="200"/>
              <w:jc w:val="center"/>
              <w:textAlignment w:val="center"/>
              <w:rPr>
                <w:rFonts w:hint="eastAsia" w:ascii="宋体" w:hAnsi="宋体" w:eastAsia="宋体" w:cs="宋体"/>
                <w:b w:val="0"/>
                <w:color w:val="000000"/>
                <w:kern w:val="2"/>
                <w:sz w:val="24"/>
                <w:szCs w:val="22"/>
                <w:lang w:val="en-US" w:eastAsia="zh-CN" w:bidi="ar-SA"/>
              </w:rPr>
            </w:pPr>
            <w:r>
              <w:rPr>
                <w:rFonts w:hint="eastAsia" w:ascii="宋体" w:hAnsi="宋体" w:eastAsia="宋体" w:cs="宋体"/>
                <w:b w:val="0"/>
                <w:color w:val="000000"/>
                <w:kern w:val="2"/>
                <w:sz w:val="24"/>
                <w:szCs w:val="22"/>
                <w:lang w:val="en-US" w:eastAsia="zh-CN" w:bidi="ar-SA"/>
              </w:rPr>
              <w:t>10</w:t>
            </w:r>
          </w:p>
        </w:tc>
        <w:tc>
          <w:tcPr>
            <w:tcW w:w="1253" w:type="dxa"/>
            <w:tcBorders>
              <w:top w:val="nil"/>
              <w:left w:val="nil"/>
              <w:bottom w:val="single" w:color="F19615" w:sz="12" w:space="0"/>
              <w:right w:val="nil"/>
            </w:tcBorders>
            <w:shd w:val="clear" w:color="auto" w:fill="FFFFFF"/>
            <w:tcMar>
              <w:top w:w="15" w:type="dxa"/>
              <w:left w:w="15" w:type="dxa"/>
              <w:right w:w="15" w:type="dxa"/>
            </w:tcMar>
            <w:vAlign w:val="center"/>
          </w:tcPr>
          <w:p w14:paraId="52EEE55A">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3.5282</w:t>
            </w:r>
          </w:p>
        </w:tc>
        <w:tc>
          <w:tcPr>
            <w:tcW w:w="1253" w:type="dxa"/>
            <w:tcBorders>
              <w:top w:val="nil"/>
              <w:left w:val="nil"/>
              <w:bottom w:val="single" w:color="F19615" w:sz="12" w:space="0"/>
              <w:right w:val="nil"/>
            </w:tcBorders>
            <w:shd w:val="clear" w:color="auto" w:fill="FFFFFF"/>
            <w:tcMar>
              <w:top w:w="15" w:type="dxa"/>
              <w:left w:w="15" w:type="dxa"/>
              <w:right w:w="15" w:type="dxa"/>
            </w:tcMar>
            <w:vAlign w:val="center"/>
          </w:tcPr>
          <w:p w14:paraId="3F04B566">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3.4853</w:t>
            </w:r>
          </w:p>
        </w:tc>
        <w:tc>
          <w:tcPr>
            <w:tcW w:w="1253" w:type="dxa"/>
            <w:tcBorders>
              <w:top w:val="nil"/>
              <w:left w:val="nil"/>
              <w:bottom w:val="single" w:color="F19615" w:sz="12" w:space="0"/>
              <w:right w:val="nil"/>
            </w:tcBorders>
            <w:shd w:val="clear" w:color="auto" w:fill="FFFFFF"/>
            <w:tcMar>
              <w:top w:w="15" w:type="dxa"/>
              <w:left w:w="15" w:type="dxa"/>
              <w:right w:w="15" w:type="dxa"/>
            </w:tcMar>
            <w:vAlign w:val="center"/>
          </w:tcPr>
          <w:p w14:paraId="3C669B9D">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3.3299</w:t>
            </w:r>
          </w:p>
        </w:tc>
        <w:tc>
          <w:tcPr>
            <w:tcW w:w="1268" w:type="dxa"/>
            <w:tcBorders>
              <w:top w:val="nil"/>
              <w:left w:val="nil"/>
              <w:bottom w:val="single" w:color="F19615" w:sz="12" w:space="0"/>
              <w:right w:val="nil"/>
            </w:tcBorders>
            <w:shd w:val="clear" w:color="auto" w:fill="FFFFFF"/>
            <w:tcMar>
              <w:top w:w="15" w:type="dxa"/>
              <w:left w:w="15" w:type="dxa"/>
              <w:right w:w="15" w:type="dxa"/>
            </w:tcMar>
            <w:vAlign w:val="center"/>
          </w:tcPr>
          <w:p w14:paraId="16B0F9DE">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3.4478</w:t>
            </w:r>
          </w:p>
        </w:tc>
        <w:tc>
          <w:tcPr>
            <w:tcW w:w="1320" w:type="dxa"/>
            <w:tcBorders>
              <w:top w:val="nil"/>
              <w:left w:val="nil"/>
              <w:bottom w:val="single" w:color="F19615" w:sz="12" w:space="0"/>
              <w:right w:val="nil"/>
            </w:tcBorders>
            <w:shd w:val="clear" w:color="auto" w:fill="FFFFFF"/>
            <w:tcMar>
              <w:top w:w="15" w:type="dxa"/>
              <w:left w:w="15" w:type="dxa"/>
              <w:right w:w="15" w:type="dxa"/>
            </w:tcMar>
            <w:vAlign w:val="center"/>
          </w:tcPr>
          <w:p w14:paraId="52371EDB">
            <w:pPr>
              <w:pStyle w:val="82"/>
              <w:keepNext w:val="0"/>
              <w:keepLines w:val="0"/>
              <w:widowControl/>
              <w:suppressLineNumbers w:val="0"/>
              <w:kinsoku/>
              <w:wordWrap/>
              <w:overflowPunct/>
              <w:jc w:val="center"/>
              <w:rPr>
                <w:rFonts w:hint="eastAsia" w:ascii="宋体" w:hAnsi="宋体" w:eastAsia="宋体" w:cs="宋体"/>
                <w:b w:val="0"/>
                <w:color w:val="000000"/>
                <w:sz w:val="24"/>
                <w:szCs w:val="22"/>
              </w:rPr>
            </w:pPr>
            <w:r>
              <w:rPr>
                <w:rFonts w:hint="eastAsia" w:ascii="宋体" w:hAnsi="宋体" w:eastAsia="宋体" w:cs="宋体"/>
                <w:b w:val="0"/>
                <w:color w:val="000000"/>
                <w:sz w:val="24"/>
                <w:szCs w:val="22"/>
              </w:rPr>
              <w:t>3.3411</w:t>
            </w:r>
          </w:p>
        </w:tc>
      </w:tr>
    </w:tbl>
    <w:p w14:paraId="35FC1D6C">
      <w:pPr>
        <w:ind w:left="0" w:leftChars="0" w:firstLine="0" w:firstLineChars="0"/>
      </w:pPr>
    </w:p>
    <w:p w14:paraId="1225D6B2">
      <w:pPr>
        <w:ind w:left="0" w:leftChars="0" w:firstLine="0" w:firstLineChars="0"/>
      </w:pPr>
      <w:r>
        <w:drawing>
          <wp:inline distT="0" distB="0" distL="114300" distR="114300">
            <wp:extent cx="5244465" cy="3284855"/>
            <wp:effectExtent l="0" t="0" r="13335" b="10795"/>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9"/>
                    <a:srcRect b="13160"/>
                    <a:stretch>
                      <a:fillRect/>
                    </a:stretch>
                  </pic:blipFill>
                  <pic:spPr>
                    <a:xfrm>
                      <a:off x="0" y="0"/>
                      <a:ext cx="5244465" cy="3284855"/>
                    </a:xfrm>
                    <a:prstGeom prst="rect">
                      <a:avLst/>
                    </a:prstGeom>
                    <a:noFill/>
                    <a:ln w="9525">
                      <a:noFill/>
                    </a:ln>
                  </pic:spPr>
                </pic:pic>
              </a:graphicData>
            </a:graphic>
          </wp:inline>
        </w:drawing>
      </w:r>
    </w:p>
    <w:p w14:paraId="5E89809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textAlignment w:val="baseline"/>
        <w:rPr>
          <w:rFonts w:hint="default"/>
          <w:b/>
          <w:bCs/>
          <w:lang w:val="en-US" w:eastAsia="zh-CN"/>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96110B8-03A9-4B7B-8F9A-608EAEBA8F4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1EC39433-20DC-48CA-BA38-E59FCFA2BD46}"/>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5744DFB5-83BC-4244-A720-6E3D9C32A1CE}"/>
  </w:font>
  <w:font w:name="微软雅黑">
    <w:panose1 w:val="020B0503020204020204"/>
    <w:charset w:val="86"/>
    <w:family w:val="auto"/>
    <w:pitch w:val="default"/>
    <w:sig w:usb0="80000287" w:usb1="2ACF3C50" w:usb2="00000016" w:usb3="00000000" w:csb0="0004001F" w:csb1="00000000"/>
    <w:embedRegular r:id="rId4" w:fontKey="{367461EE-68B2-4D9A-AB1E-784EA16599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4384" behindDoc="1" locked="0" layoutInCell="1" allowOverlap="1">
          <wp:simplePos x="0" y="0"/>
          <wp:positionH relativeFrom="column">
            <wp:posOffset>-528320</wp:posOffset>
          </wp:positionH>
          <wp:positionV relativeFrom="paragraph">
            <wp:posOffset>-228600</wp:posOffset>
          </wp:positionV>
          <wp:extent cx="1613535" cy="511175"/>
          <wp:effectExtent l="0" t="0" r="5715" b="3175"/>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613535" cy="511175"/>
                  </a:xfrm>
                  <a:prstGeom prst="rect">
                    <a:avLst/>
                  </a:prstGeom>
                  <a:noFill/>
                  <a:ln w="9525">
                    <a:noFill/>
                  </a:ln>
                </pic:spPr>
              </pic:pic>
            </a:graphicData>
          </a:graphic>
        </wp:anchor>
      </w:drawing>
    </w:r>
    <w:r>
      <w:drawing>
        <wp:anchor distT="0" distB="0" distL="114300" distR="114300" simplePos="0" relativeHeight="251662336"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3">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4">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5">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6">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7">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8">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9">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0">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1">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2">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3">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num w:numId="1">
    <w:abstractNumId w:val="13"/>
  </w:num>
  <w:num w:numId="2">
    <w:abstractNumId w:val="9"/>
  </w:num>
  <w:num w:numId="3">
    <w:abstractNumId w:val="5"/>
  </w:num>
  <w:num w:numId="4">
    <w:abstractNumId w:val="10"/>
  </w:num>
  <w:num w:numId="5">
    <w:abstractNumId w:val="2"/>
  </w:num>
  <w:num w:numId="6">
    <w:abstractNumId w:val="12"/>
  </w:num>
  <w:num w:numId="7">
    <w:abstractNumId w:val="8"/>
  </w:num>
  <w:num w:numId="8">
    <w:abstractNumId w:val="1"/>
  </w:num>
  <w:num w:numId="9">
    <w:abstractNumId w:val="4"/>
  </w:num>
  <w:num w:numId="10">
    <w:abstractNumId w:val="7"/>
  </w:num>
  <w:num w:numId="11">
    <w:abstractNumId w:val="6"/>
  </w:num>
  <w:num w:numId="12">
    <w:abstractNumId w:val="3"/>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34D1ADA"/>
    <w:rsid w:val="05F45C37"/>
    <w:rsid w:val="064072EB"/>
    <w:rsid w:val="075C7C95"/>
    <w:rsid w:val="0A6071C9"/>
    <w:rsid w:val="0BE77549"/>
    <w:rsid w:val="122A4C8C"/>
    <w:rsid w:val="12AF6F40"/>
    <w:rsid w:val="13EE774E"/>
    <w:rsid w:val="16835F40"/>
    <w:rsid w:val="1BB53BFC"/>
    <w:rsid w:val="1D5726AE"/>
    <w:rsid w:val="1F896D6A"/>
    <w:rsid w:val="21CD72A2"/>
    <w:rsid w:val="223E3E3C"/>
    <w:rsid w:val="224D407F"/>
    <w:rsid w:val="29005793"/>
    <w:rsid w:val="29ED6C5C"/>
    <w:rsid w:val="2E0D0283"/>
    <w:rsid w:val="2EB060C2"/>
    <w:rsid w:val="2ED450D5"/>
    <w:rsid w:val="34FE2942"/>
    <w:rsid w:val="385B52F0"/>
    <w:rsid w:val="39A131D7"/>
    <w:rsid w:val="3EDF3E59"/>
    <w:rsid w:val="409C64A6"/>
    <w:rsid w:val="41AD023F"/>
    <w:rsid w:val="42CA554C"/>
    <w:rsid w:val="457C2BAA"/>
    <w:rsid w:val="45C271D1"/>
    <w:rsid w:val="465269DB"/>
    <w:rsid w:val="48D41268"/>
    <w:rsid w:val="4F7D74A2"/>
    <w:rsid w:val="525D04B4"/>
    <w:rsid w:val="526D56B7"/>
    <w:rsid w:val="53F8619B"/>
    <w:rsid w:val="56FC15F5"/>
    <w:rsid w:val="57072B9A"/>
    <w:rsid w:val="5845652A"/>
    <w:rsid w:val="5A1F5D26"/>
    <w:rsid w:val="5A273F6C"/>
    <w:rsid w:val="5AE86CB7"/>
    <w:rsid w:val="5D4806FF"/>
    <w:rsid w:val="61856B88"/>
    <w:rsid w:val="61A94127"/>
    <w:rsid w:val="61F77588"/>
    <w:rsid w:val="63185A08"/>
    <w:rsid w:val="63246FF1"/>
    <w:rsid w:val="68F20AA9"/>
    <w:rsid w:val="6D855C8A"/>
    <w:rsid w:val="705B0FA6"/>
    <w:rsid w:val="712E1AFD"/>
    <w:rsid w:val="73B40E35"/>
    <w:rsid w:val="74300A9E"/>
    <w:rsid w:val="74346A6F"/>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Theme="minorHAnsi" w:hAnsiTheme="minorHAnsi"/>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Theme="minorHAnsi" w:hAnsiTheme="minorHAnsi"/>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Theme="majorHAnsi" w:hAnsiTheme="majorHAnsi" w:eastAsiaTheme="majorEastAsia"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Theme="majorHAnsi" w:hAnsiTheme="majorHAnsi" w:eastAsiaTheme="majorEastAsia"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Theme="minorHAnsi" w:hAnsiTheme="minorHAnsi"/>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Theme="minorAscii" w:hAnsiTheme="minorAscii"/>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eastAsia="汉仪仿宋简" w:asciiTheme="minorHAnsi" w:hAnsiTheme="minorHAnsi"/>
    </w:rPr>
  </w:style>
  <w:style w:type="paragraph" w:styleId="45">
    <w:name w:val="Plain Text"/>
    <w:basedOn w:val="1"/>
    <w:link w:val="114"/>
    <w:qFormat/>
    <w:uiPriority w:val="0"/>
    <w:rPr>
      <w:rFonts w:hAnsi="Courier New" w:cs="Courier New" w:asciiTheme="minorEastAsia"/>
      <w:kern w:val="2"/>
      <w:sz w:val="24"/>
      <w:szCs w:val="24"/>
    </w:rPr>
  </w:style>
  <w:style w:type="paragraph" w:styleId="46">
    <w:name w:val="List Bullet 5"/>
    <w:basedOn w:val="1"/>
    <w:qFormat/>
    <w:uiPriority w:val="0"/>
    <w:pPr>
      <w:numPr>
        <w:ilvl w:val="0"/>
        <w:numId w:val="9"/>
      </w:numPr>
      <w:spacing w:before="156" w:after="156"/>
      <w:ind w:hanging="420"/>
    </w:pPr>
    <w:rPr>
      <w:rFonts w:asciiTheme="minorHAnsi" w:hAnsiTheme="minorHAnsi"/>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Theme="majorHAnsi" w:hAnsiTheme="majorHAnsi" w:eastAsiaTheme="majorEastAsia"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Theme="majorHAnsi" w:hAnsiTheme="majorHAnsi" w:eastAsiaTheme="majorEastAsia"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eastAsia="汉仪仿宋简" w:asciiTheme="minorHAnsi" w:hAnsiTheme="minorHAnsi"/>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hAnsi="Courier New" w:cs="Courier New" w:asciiTheme="minorEastAsia"/>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Theme="majorHAnsi" w:hAnsiTheme="majorHAnsi" w:eastAsiaTheme="majorEastAsia"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2249</Words>
  <Characters>2573</Characters>
  <Lines>0</Lines>
  <Paragraphs>0</Paragraphs>
  <TotalTime>0</TotalTime>
  <ScaleCrop>false</ScaleCrop>
  <LinksUpToDate>false</LinksUpToDate>
  <CharactersWithSpaces>2587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2026-07-14T02:07:59Z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ED0074A296A144F09841EE0DED569B10_13</vt:lpwstr>
  </property>
  <property fmtid="{D5CDD505-2E9C-101B-9397-08002B2CF9AE}" pid="4" name="KSOTemplateDocerSaveRecord">
    <vt:lpwstr>eyJoZGlkIjoiNWVlNjFhN2ViMDkyMjU2YTRhYmFiNzNhM2VmOTdkODMiLCJ1c2VySWQiOiIyNzMwNDgzMDEifQ==</vt:lpwstr>
  </property>
</Properties>
</file>